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FF" w:rsidRDefault="001C5FFF" w:rsidP="001C5FFF">
      <w:pPr>
        <w:jc w:val="center"/>
        <w:rPr>
          <w:b/>
          <w:sz w:val="26"/>
          <w:szCs w:val="26"/>
        </w:rPr>
      </w:pPr>
    </w:p>
    <w:p w:rsidR="004D2CB2" w:rsidRPr="00416659" w:rsidRDefault="00223DCB" w:rsidP="004D2CB2">
      <w:pPr>
        <w:jc w:val="center"/>
        <w:rPr>
          <w:b/>
          <w:color w:val="auto"/>
          <w:sz w:val="28"/>
        </w:rPr>
      </w:pPr>
      <w:r w:rsidRPr="00223DCB">
        <w:rPr>
          <w:b/>
          <w:sz w:val="26"/>
          <w:szCs w:val="26"/>
        </w:rPr>
        <w:t xml:space="preserve">Soda Polska CIECH </w:t>
      </w:r>
      <w:r w:rsidR="001B46AB">
        <w:rPr>
          <w:b/>
          <w:sz w:val="26"/>
          <w:szCs w:val="26"/>
        </w:rPr>
        <w:t>S.A.</w:t>
      </w:r>
    </w:p>
    <w:p w:rsidR="004D2CB2" w:rsidRPr="00416659" w:rsidRDefault="004D2CB2" w:rsidP="004D2CB2">
      <w:pPr>
        <w:jc w:val="center"/>
        <w:rPr>
          <w:b/>
          <w:color w:val="auto"/>
          <w:sz w:val="28"/>
        </w:rPr>
      </w:pPr>
    </w:p>
    <w:p w:rsidR="004D2CB2" w:rsidRPr="006E05FE" w:rsidRDefault="004D2CB2" w:rsidP="006E05FE">
      <w:pPr>
        <w:pStyle w:val="BodyText23"/>
        <w:spacing w:before="0" w:line="360" w:lineRule="auto"/>
        <w:ind w:firstLine="0"/>
        <w:rPr>
          <w:color w:val="auto"/>
          <w:sz w:val="56"/>
          <w:szCs w:val="56"/>
        </w:rPr>
      </w:pPr>
      <w:r w:rsidRPr="006E05FE">
        <w:rPr>
          <w:color w:val="auto"/>
          <w:sz w:val="56"/>
          <w:szCs w:val="56"/>
        </w:rPr>
        <w:t>INSTRUKCJA RUCHU I EKSPLOATACJI</w:t>
      </w:r>
      <w:r w:rsidRPr="006E05FE">
        <w:rPr>
          <w:color w:val="auto"/>
          <w:sz w:val="56"/>
          <w:szCs w:val="56"/>
        </w:rPr>
        <w:br/>
        <w:t>SIECI DYSTRYBUCYJNEJ</w:t>
      </w:r>
    </w:p>
    <w:p w:rsidR="004D2CB2" w:rsidRPr="00416659" w:rsidRDefault="004D2CB2" w:rsidP="004D2CB2">
      <w:pPr>
        <w:pStyle w:val="styl0"/>
        <w:jc w:val="center"/>
      </w:pPr>
    </w:p>
    <w:p w:rsidR="004D2CB2" w:rsidRPr="006E05FE" w:rsidRDefault="006E05FE" w:rsidP="006E05FE">
      <w:pPr>
        <w:pStyle w:val="BodyText23"/>
        <w:ind w:firstLine="0"/>
        <w:rPr>
          <w:color w:val="auto"/>
          <w:szCs w:val="36"/>
        </w:rPr>
      </w:pPr>
      <w:r>
        <w:rPr>
          <w:color w:val="auto"/>
          <w:szCs w:val="36"/>
        </w:rPr>
        <w:t>B</w:t>
      </w:r>
      <w:r w:rsidRPr="006E05FE">
        <w:rPr>
          <w:color w:val="auto"/>
          <w:szCs w:val="36"/>
        </w:rPr>
        <w:t xml:space="preserve">ilansowanie systemu dystrybucyjnego </w:t>
      </w:r>
      <w:r>
        <w:rPr>
          <w:color w:val="auto"/>
          <w:szCs w:val="36"/>
        </w:rPr>
        <w:br/>
      </w:r>
      <w:r w:rsidRPr="006E05FE">
        <w:rPr>
          <w:color w:val="auto"/>
          <w:szCs w:val="36"/>
        </w:rPr>
        <w:t>i zarządzanie ograniczeniami systemow</w:t>
      </w:r>
      <w:r>
        <w:rPr>
          <w:color w:val="auto"/>
          <w:szCs w:val="36"/>
        </w:rPr>
        <w:t>ymi</w:t>
      </w:r>
    </w:p>
    <w:p w:rsidR="005D1BB5" w:rsidRPr="006E05FE" w:rsidRDefault="005D1BB5" w:rsidP="006E05FE">
      <w:pPr>
        <w:pStyle w:val="BodyText23"/>
        <w:ind w:firstLine="0"/>
        <w:rPr>
          <w:color w:val="auto"/>
          <w:szCs w:val="36"/>
        </w:rPr>
      </w:pPr>
    </w:p>
    <w:p w:rsidR="004D2CB2" w:rsidRPr="00416659" w:rsidRDefault="004D2CB2" w:rsidP="004D2CB2">
      <w:pPr>
        <w:pStyle w:val="styl0"/>
        <w:jc w:val="center"/>
      </w:pPr>
    </w:p>
    <w:p w:rsidR="004D2CB2" w:rsidRPr="00416659" w:rsidRDefault="004D2CB2">
      <w:pPr>
        <w:pStyle w:val="styl0"/>
        <w:rPr>
          <w:b/>
        </w:rPr>
      </w:pPr>
    </w:p>
    <w:p w:rsidR="004D2CB2" w:rsidRDefault="004D2CB2">
      <w:pPr>
        <w:pStyle w:val="styl0"/>
        <w:rPr>
          <w:b/>
        </w:rPr>
      </w:pPr>
    </w:p>
    <w:p w:rsidR="006801FE" w:rsidRDefault="006801FE">
      <w:pPr>
        <w:pStyle w:val="styl0"/>
        <w:rPr>
          <w:b/>
        </w:rPr>
      </w:pPr>
    </w:p>
    <w:p w:rsidR="006801FE" w:rsidRDefault="006801FE">
      <w:pPr>
        <w:pStyle w:val="styl0"/>
        <w:rPr>
          <w:b/>
        </w:rPr>
      </w:pPr>
    </w:p>
    <w:p w:rsidR="006801FE" w:rsidRDefault="006801FE">
      <w:pPr>
        <w:pStyle w:val="styl0"/>
        <w:rPr>
          <w:b/>
        </w:rPr>
      </w:pPr>
    </w:p>
    <w:p w:rsidR="006801FE" w:rsidRDefault="006801FE">
      <w:pPr>
        <w:pStyle w:val="styl0"/>
        <w:rPr>
          <w:b/>
        </w:rPr>
      </w:pPr>
    </w:p>
    <w:p w:rsidR="006801FE" w:rsidRDefault="006801FE">
      <w:pPr>
        <w:pStyle w:val="styl0"/>
        <w:rPr>
          <w:b/>
        </w:rPr>
      </w:pPr>
    </w:p>
    <w:p w:rsidR="006801FE" w:rsidRDefault="006801FE">
      <w:pPr>
        <w:pStyle w:val="styl0"/>
        <w:rPr>
          <w:b/>
        </w:rPr>
      </w:pPr>
    </w:p>
    <w:p w:rsidR="00946EE8" w:rsidRPr="00647CB3" w:rsidRDefault="00946EE8" w:rsidP="00946EE8">
      <w:pPr>
        <w:jc w:val="left"/>
        <w:rPr>
          <w:iCs/>
          <w:sz w:val="28"/>
          <w:szCs w:val="28"/>
        </w:rPr>
      </w:pPr>
      <w:r>
        <w:rPr>
          <w:b/>
          <w:i/>
          <w:sz w:val="32"/>
          <w:szCs w:val="32"/>
        </w:rPr>
        <w:t>Tekst obowiązujący od dnia:</w:t>
      </w:r>
      <w:r>
        <w:rPr>
          <w:i/>
          <w:sz w:val="32"/>
          <w:szCs w:val="32"/>
        </w:rPr>
        <w:t xml:space="preserve"> ………………………</w:t>
      </w:r>
    </w:p>
    <w:p w:rsidR="00C24DCB" w:rsidRPr="00416659" w:rsidRDefault="004D2CB2">
      <w:pPr>
        <w:pStyle w:val="styl0"/>
      </w:pPr>
      <w:r w:rsidRPr="00416659">
        <w:rPr>
          <w:b/>
        </w:rPr>
        <w:br w:type="page"/>
      </w:r>
    </w:p>
    <w:p w:rsidR="00946EE8" w:rsidRPr="004B645F" w:rsidRDefault="00946EE8" w:rsidP="00946EE8">
      <w:pPr>
        <w:jc w:val="left"/>
        <w:rPr>
          <w:b/>
          <w:sz w:val="28"/>
          <w:szCs w:val="28"/>
        </w:rPr>
      </w:pPr>
      <w:r w:rsidRPr="004B645F">
        <w:rPr>
          <w:b/>
          <w:sz w:val="28"/>
          <w:szCs w:val="28"/>
        </w:rPr>
        <w:lastRenderedPageBreak/>
        <w:t>SPIS TREŚCI</w:t>
      </w:r>
    </w:p>
    <w:p w:rsidR="00946EE8" w:rsidRDefault="00946EE8" w:rsidP="00946EE8">
      <w:pPr>
        <w:pStyle w:val="styl0"/>
      </w:pPr>
    </w:p>
    <w:p w:rsidR="00D7098B" w:rsidRDefault="001A4961" w:rsidP="00D7098B">
      <w:pPr>
        <w:pStyle w:val="Spistreci1"/>
        <w:tabs>
          <w:tab w:val="left" w:pos="960"/>
        </w:tabs>
        <w:ind w:left="426" w:hanging="426"/>
        <w:jc w:val="both"/>
        <w:rPr>
          <w:rStyle w:val="Hipercze"/>
          <w:noProof/>
        </w:rPr>
      </w:pPr>
      <w:r>
        <w:fldChar w:fldCharType="begin"/>
      </w:r>
      <w:r w:rsidR="00123426">
        <w:instrText xml:space="preserve"> TOC \o "1-1" \h \z \u </w:instrText>
      </w:r>
      <w:r>
        <w:fldChar w:fldCharType="separate"/>
      </w:r>
      <w:hyperlink w:anchor="_Toc375295762" w:history="1">
        <w:r w:rsidR="00D7098B" w:rsidRPr="000C3D42">
          <w:rPr>
            <w:rStyle w:val="Hipercze"/>
            <w:noProof/>
          </w:rPr>
          <w:t>A.</w:t>
        </w:r>
        <w:r w:rsidR="00D7098B">
          <w:rPr>
            <w:rFonts w:asciiTheme="minorHAnsi" w:eastAsiaTheme="minorEastAsia" w:hAnsiTheme="minorHAnsi" w:cstheme="minorBidi"/>
            <w:b w:val="0"/>
            <w:caps w:val="0"/>
            <w:noProof/>
            <w:color w:val="auto"/>
            <w:sz w:val="22"/>
            <w:szCs w:val="22"/>
            <w:lang w:val="pl-PL"/>
          </w:rPr>
          <w:tab/>
        </w:r>
        <w:r w:rsidR="00D7098B" w:rsidRPr="000C3D42">
          <w:rPr>
            <w:rStyle w:val="Hipercze"/>
            <w:noProof/>
          </w:rPr>
          <w:t>POSTANOWIENIA WSTĘPNE</w:t>
        </w:r>
        <w:r w:rsidR="00D7098B">
          <w:rPr>
            <w:noProof/>
            <w:webHidden/>
          </w:rPr>
          <w:tab/>
        </w:r>
        <w:r w:rsidR="00D7098B">
          <w:rPr>
            <w:noProof/>
            <w:webHidden/>
          </w:rPr>
          <w:fldChar w:fldCharType="begin"/>
        </w:r>
        <w:r w:rsidR="00D7098B">
          <w:rPr>
            <w:noProof/>
            <w:webHidden/>
          </w:rPr>
          <w:instrText xml:space="preserve"> PAGEREF _Toc375295762 \h </w:instrText>
        </w:r>
        <w:r w:rsidR="00D7098B">
          <w:rPr>
            <w:noProof/>
            <w:webHidden/>
          </w:rPr>
        </w:r>
        <w:r w:rsidR="00D7098B">
          <w:rPr>
            <w:noProof/>
            <w:webHidden/>
          </w:rPr>
          <w:fldChar w:fldCharType="separate"/>
        </w:r>
        <w:r w:rsidR="00D7098B">
          <w:rPr>
            <w:noProof/>
            <w:webHidden/>
          </w:rPr>
          <w:t>3</w:t>
        </w:r>
        <w:r w:rsidR="00D7098B">
          <w:rPr>
            <w:noProof/>
            <w:webHidden/>
          </w:rPr>
          <w:fldChar w:fldCharType="end"/>
        </w:r>
      </w:hyperlink>
    </w:p>
    <w:p w:rsidR="00D7098B" w:rsidRPr="00D7098B" w:rsidRDefault="00D7098B" w:rsidP="00D7098B">
      <w:pPr>
        <w:pStyle w:val="Spistreci1"/>
        <w:tabs>
          <w:tab w:val="left" w:pos="960"/>
        </w:tabs>
        <w:ind w:left="426" w:hanging="426"/>
        <w:jc w:val="both"/>
        <w:rPr>
          <w:rStyle w:val="Hipercze"/>
          <w:noProof/>
          <w:color w:val="auto"/>
          <w:u w:val="none"/>
        </w:rPr>
      </w:pPr>
      <w:r w:rsidRPr="00D7098B">
        <w:rPr>
          <w:rStyle w:val="Hipercze"/>
          <w:noProof/>
          <w:color w:val="auto"/>
          <w:u w:val="none"/>
        </w:rPr>
        <w:t>B</w:t>
      </w:r>
      <w:hyperlink w:anchor="_Toc375295762" w:history="1">
        <w:r w:rsidRPr="00D7098B">
          <w:rPr>
            <w:rStyle w:val="Hipercze"/>
            <w:noProof/>
            <w:color w:val="auto"/>
            <w:u w:val="none"/>
          </w:rPr>
          <w:t>.</w:t>
        </w:r>
        <w:r w:rsidRPr="00D7098B">
          <w:rPr>
            <w:rStyle w:val="Hipercze"/>
            <w:color w:val="auto"/>
            <w:u w:val="none"/>
          </w:rPr>
          <w:tab/>
        </w:r>
        <w:r w:rsidRPr="00D7098B">
          <w:rPr>
            <w:rStyle w:val="Hipercze"/>
            <w:noProof/>
            <w:color w:val="auto"/>
            <w:u w:val="none"/>
          </w:rPr>
          <w:t>ZASADY ZAWIERANIA UMÓW DYSTRYBUCJI Z URDO</w:t>
        </w:r>
        <w:r w:rsidRPr="00D7098B">
          <w:rPr>
            <w:rStyle w:val="Hipercze"/>
            <w:webHidden/>
            <w:color w:val="auto"/>
            <w:u w:val="none"/>
          </w:rPr>
          <w:tab/>
          <w:t>15</w:t>
        </w:r>
      </w:hyperlink>
    </w:p>
    <w:p w:rsidR="00D7098B" w:rsidRPr="00D7098B" w:rsidRDefault="00D7098B" w:rsidP="00D7098B">
      <w:pPr>
        <w:pStyle w:val="Spistreci1"/>
        <w:tabs>
          <w:tab w:val="left" w:pos="960"/>
        </w:tabs>
        <w:ind w:left="426" w:hanging="426"/>
        <w:jc w:val="both"/>
        <w:rPr>
          <w:rStyle w:val="Hipercze"/>
          <w:noProof/>
          <w:color w:val="auto"/>
          <w:u w:val="none"/>
        </w:rPr>
      </w:pPr>
      <w:r>
        <w:rPr>
          <w:rStyle w:val="Hipercze"/>
          <w:noProof/>
          <w:color w:val="auto"/>
          <w:u w:val="none"/>
        </w:rPr>
        <w:t>C</w:t>
      </w:r>
      <w:hyperlink w:anchor="_Toc375295762" w:history="1">
        <w:r w:rsidRPr="00D7098B">
          <w:rPr>
            <w:rStyle w:val="Hipercze"/>
            <w:noProof/>
            <w:color w:val="auto"/>
            <w:u w:val="none"/>
          </w:rPr>
          <w:t>.</w:t>
        </w:r>
        <w:r w:rsidRPr="00D7098B">
          <w:rPr>
            <w:rStyle w:val="Hipercze"/>
            <w:color w:val="auto"/>
            <w:u w:val="none"/>
          </w:rPr>
          <w:tab/>
        </w:r>
        <w:r w:rsidRPr="00D7098B">
          <w:rPr>
            <w:rStyle w:val="Hipercze"/>
            <w:noProof/>
          </w:rPr>
          <w:t>ZASADY WYZNACZANIA, PRZEKAZYWANIA I UDOSTĘPNIANIA DANYCH POMIAROWYCH</w:t>
        </w:r>
        <w:r w:rsidRPr="00D7098B">
          <w:rPr>
            <w:rStyle w:val="Hipercze"/>
            <w:webHidden/>
            <w:color w:val="auto"/>
            <w:u w:val="none"/>
          </w:rPr>
          <w:tab/>
          <w:t>1</w:t>
        </w:r>
      </w:hyperlink>
      <w:r w:rsidR="003F5AE6">
        <w:rPr>
          <w:rStyle w:val="Hipercze"/>
          <w:noProof/>
          <w:color w:val="auto"/>
          <w:u w:val="none"/>
        </w:rPr>
        <w:t>6</w:t>
      </w:r>
    </w:p>
    <w:p w:rsidR="00D7098B" w:rsidRDefault="00005A5E" w:rsidP="00D7098B">
      <w:pPr>
        <w:pStyle w:val="Spistreci1"/>
        <w:tabs>
          <w:tab w:val="left" w:pos="960"/>
        </w:tabs>
        <w:ind w:left="426" w:hanging="426"/>
        <w:jc w:val="both"/>
        <w:rPr>
          <w:rFonts w:asciiTheme="minorHAnsi" w:eastAsiaTheme="minorEastAsia" w:hAnsiTheme="minorHAnsi" w:cstheme="minorBidi"/>
          <w:b w:val="0"/>
          <w:caps w:val="0"/>
          <w:noProof/>
          <w:color w:val="auto"/>
          <w:sz w:val="22"/>
          <w:szCs w:val="22"/>
          <w:lang w:val="pl-PL"/>
        </w:rPr>
      </w:pPr>
      <w:hyperlink w:anchor="_Toc375295763" w:history="1">
        <w:r w:rsidR="00D7098B" w:rsidRPr="000C3D42">
          <w:rPr>
            <w:rStyle w:val="Hipercze"/>
            <w:noProof/>
          </w:rPr>
          <w:t>D.</w:t>
        </w:r>
        <w:r w:rsidR="00D7098B">
          <w:rPr>
            <w:rFonts w:asciiTheme="minorHAnsi" w:eastAsiaTheme="minorEastAsia" w:hAnsiTheme="minorHAnsi" w:cstheme="minorBidi"/>
            <w:b w:val="0"/>
            <w:caps w:val="0"/>
            <w:noProof/>
            <w:color w:val="auto"/>
            <w:sz w:val="22"/>
            <w:szCs w:val="22"/>
            <w:lang w:val="pl-PL"/>
          </w:rPr>
          <w:tab/>
        </w:r>
        <w:r w:rsidR="00D7098B" w:rsidRPr="000C3D42">
          <w:rPr>
            <w:rStyle w:val="Hipercze"/>
            <w:noProof/>
          </w:rPr>
          <w:t>PROCEDURY ZMIANY SPRZEDAWCY ORAZ ZASADY UDZIELANIA INFORMACJI I OBSŁUGI ODBIORCÓW</w:t>
        </w:r>
        <w:r w:rsidR="00D7098B">
          <w:rPr>
            <w:noProof/>
            <w:webHidden/>
          </w:rPr>
          <w:tab/>
        </w:r>
      </w:hyperlink>
      <w:r w:rsidR="003F5AE6" w:rsidRPr="003F5AE6">
        <w:rPr>
          <w:rStyle w:val="Hipercze"/>
          <w:noProof/>
          <w:color w:val="auto"/>
          <w:u w:val="none"/>
        </w:rPr>
        <w:t>19</w:t>
      </w:r>
    </w:p>
    <w:p w:rsidR="00D7098B" w:rsidRPr="003F5AE6" w:rsidRDefault="00005A5E" w:rsidP="00D7098B">
      <w:pPr>
        <w:pStyle w:val="Spistreci1"/>
        <w:tabs>
          <w:tab w:val="left" w:pos="960"/>
        </w:tabs>
        <w:ind w:left="426" w:hanging="426"/>
        <w:jc w:val="both"/>
        <w:rPr>
          <w:rFonts w:asciiTheme="minorHAnsi" w:eastAsiaTheme="minorEastAsia" w:hAnsiTheme="minorHAnsi" w:cstheme="minorBidi"/>
          <w:b w:val="0"/>
          <w:caps w:val="0"/>
          <w:noProof/>
          <w:color w:val="auto"/>
          <w:sz w:val="22"/>
          <w:szCs w:val="22"/>
          <w:lang w:val="pl-PL"/>
        </w:rPr>
      </w:pPr>
      <w:hyperlink w:anchor="_Toc375295764" w:history="1">
        <w:r w:rsidR="00D7098B" w:rsidRPr="003F5AE6">
          <w:rPr>
            <w:rStyle w:val="Hipercze"/>
            <w:noProof/>
            <w:color w:val="auto"/>
            <w:u w:val="none"/>
          </w:rPr>
          <w:t>E</w:t>
        </w:r>
        <w:r w:rsidR="00D7098B" w:rsidRPr="003F5AE6">
          <w:rPr>
            <w:rFonts w:asciiTheme="minorHAnsi" w:eastAsiaTheme="minorEastAsia" w:hAnsiTheme="minorHAnsi" w:cstheme="minorBidi"/>
            <w:b w:val="0"/>
            <w:caps w:val="0"/>
            <w:noProof/>
            <w:color w:val="auto"/>
            <w:sz w:val="22"/>
            <w:szCs w:val="22"/>
            <w:lang w:val="pl-PL"/>
          </w:rPr>
          <w:tab/>
        </w:r>
        <w:r w:rsidR="00D7098B" w:rsidRPr="003F5AE6">
          <w:rPr>
            <w:rStyle w:val="Hipercze"/>
            <w:noProof/>
            <w:color w:val="auto"/>
            <w:u w:val="none"/>
          </w:rPr>
          <w:t>ZASADY BILANSOWANIA HANDLOWEGO W OBSZARZE RYNKU DETALICZNEGO</w:t>
        </w:r>
        <w:r w:rsidR="00D7098B" w:rsidRPr="003F5AE6">
          <w:rPr>
            <w:noProof/>
            <w:webHidden/>
            <w:color w:val="auto"/>
          </w:rPr>
          <w:tab/>
        </w:r>
        <w:r w:rsidR="00D7098B" w:rsidRPr="003F5AE6">
          <w:rPr>
            <w:noProof/>
            <w:webHidden/>
            <w:color w:val="auto"/>
          </w:rPr>
          <w:fldChar w:fldCharType="begin"/>
        </w:r>
        <w:r w:rsidR="00D7098B" w:rsidRPr="003F5AE6">
          <w:rPr>
            <w:noProof/>
            <w:webHidden/>
            <w:color w:val="auto"/>
          </w:rPr>
          <w:instrText xml:space="preserve"> PAGEREF _Toc375295764 \h </w:instrText>
        </w:r>
        <w:r w:rsidR="00D7098B" w:rsidRPr="003F5AE6">
          <w:rPr>
            <w:noProof/>
            <w:webHidden/>
            <w:color w:val="auto"/>
          </w:rPr>
        </w:r>
        <w:r w:rsidR="00D7098B" w:rsidRPr="003F5AE6">
          <w:rPr>
            <w:noProof/>
            <w:webHidden/>
            <w:color w:val="auto"/>
          </w:rPr>
          <w:fldChar w:fldCharType="separate"/>
        </w:r>
        <w:r w:rsidR="00D7098B" w:rsidRPr="003F5AE6">
          <w:rPr>
            <w:noProof/>
            <w:webHidden/>
            <w:color w:val="auto"/>
          </w:rPr>
          <w:t>2</w:t>
        </w:r>
        <w:r w:rsidR="00D7098B" w:rsidRPr="003F5AE6">
          <w:rPr>
            <w:noProof/>
            <w:webHidden/>
            <w:color w:val="auto"/>
          </w:rPr>
          <w:fldChar w:fldCharType="end"/>
        </w:r>
      </w:hyperlink>
      <w:r w:rsidR="003F5AE6" w:rsidRPr="003F5AE6">
        <w:rPr>
          <w:rStyle w:val="Hipercze"/>
          <w:noProof/>
          <w:color w:val="auto"/>
          <w:u w:val="none"/>
        </w:rPr>
        <w:t>6</w:t>
      </w:r>
    </w:p>
    <w:p w:rsidR="00D7098B" w:rsidRDefault="00005A5E" w:rsidP="00D7098B">
      <w:pPr>
        <w:pStyle w:val="Spistreci1"/>
        <w:tabs>
          <w:tab w:val="left" w:pos="960"/>
        </w:tabs>
        <w:ind w:left="426" w:hanging="426"/>
        <w:jc w:val="both"/>
        <w:rPr>
          <w:rFonts w:asciiTheme="minorHAnsi" w:eastAsiaTheme="minorEastAsia" w:hAnsiTheme="minorHAnsi" w:cstheme="minorBidi"/>
          <w:b w:val="0"/>
          <w:caps w:val="0"/>
          <w:noProof/>
          <w:color w:val="auto"/>
          <w:sz w:val="22"/>
          <w:szCs w:val="22"/>
          <w:lang w:val="pl-PL"/>
        </w:rPr>
      </w:pPr>
      <w:hyperlink w:anchor="_Toc375295765" w:history="1">
        <w:r w:rsidR="00D7098B" w:rsidRPr="000C3D42">
          <w:rPr>
            <w:rStyle w:val="Hipercze"/>
            <w:noProof/>
          </w:rPr>
          <w:t>F.</w:t>
        </w:r>
        <w:r w:rsidR="00D7098B">
          <w:rPr>
            <w:rFonts w:asciiTheme="minorHAnsi" w:eastAsiaTheme="minorEastAsia" w:hAnsiTheme="minorHAnsi" w:cstheme="minorBidi"/>
            <w:b w:val="0"/>
            <w:caps w:val="0"/>
            <w:noProof/>
            <w:color w:val="auto"/>
            <w:sz w:val="22"/>
            <w:szCs w:val="22"/>
            <w:lang w:val="pl-PL"/>
          </w:rPr>
          <w:tab/>
        </w:r>
        <w:r w:rsidR="00D7098B" w:rsidRPr="000C3D42">
          <w:rPr>
            <w:rStyle w:val="Hipercze"/>
            <w:noProof/>
          </w:rPr>
          <w:t>PROCEDURA POWIADAMIANIA O ZAWARTYCH UMOWACH SPRZEDAŻY ENERGII ELEKTRYCZNEJ</w:t>
        </w:r>
        <w:r w:rsidR="00D7098B">
          <w:rPr>
            <w:noProof/>
            <w:webHidden/>
          </w:rPr>
          <w:tab/>
        </w:r>
      </w:hyperlink>
      <w:r w:rsidR="003F5AE6" w:rsidRPr="003F5AE6">
        <w:rPr>
          <w:rStyle w:val="Hipercze"/>
          <w:noProof/>
          <w:color w:val="auto"/>
          <w:u w:val="none"/>
        </w:rPr>
        <w:t>29</w:t>
      </w:r>
    </w:p>
    <w:p w:rsidR="00D7098B" w:rsidRDefault="00005A5E" w:rsidP="00D7098B">
      <w:pPr>
        <w:pStyle w:val="Spistreci1"/>
        <w:tabs>
          <w:tab w:val="left" w:pos="960"/>
        </w:tabs>
        <w:ind w:left="426" w:hanging="426"/>
        <w:jc w:val="both"/>
        <w:rPr>
          <w:rFonts w:asciiTheme="minorHAnsi" w:eastAsiaTheme="minorEastAsia" w:hAnsiTheme="minorHAnsi" w:cstheme="minorBidi"/>
          <w:b w:val="0"/>
          <w:caps w:val="0"/>
          <w:noProof/>
          <w:color w:val="auto"/>
          <w:sz w:val="22"/>
          <w:szCs w:val="22"/>
          <w:lang w:val="pl-PL"/>
        </w:rPr>
      </w:pPr>
      <w:hyperlink w:anchor="_Toc375295766" w:history="1">
        <w:r w:rsidR="00D7098B" w:rsidRPr="000C3D42">
          <w:rPr>
            <w:rStyle w:val="Hipercze"/>
            <w:noProof/>
          </w:rPr>
          <w:t>G.</w:t>
        </w:r>
        <w:r w:rsidR="00D7098B">
          <w:rPr>
            <w:rFonts w:asciiTheme="minorHAnsi" w:eastAsiaTheme="minorEastAsia" w:hAnsiTheme="minorHAnsi" w:cstheme="minorBidi"/>
            <w:b w:val="0"/>
            <w:caps w:val="0"/>
            <w:noProof/>
            <w:color w:val="auto"/>
            <w:sz w:val="22"/>
            <w:szCs w:val="22"/>
            <w:lang w:val="pl-PL"/>
          </w:rPr>
          <w:tab/>
        </w:r>
        <w:r w:rsidR="00D7098B" w:rsidRPr="000C3D42">
          <w:rPr>
            <w:rStyle w:val="Hipercze"/>
            <w:noProof/>
          </w:rPr>
          <w:t xml:space="preserve"> ZASADY WYZNACZANIA, PRZYDZIELANIA I WERYFIKACJI STANDARDOWYCH PROFILI ZUŻYCIA</w:t>
        </w:r>
        <w:r w:rsidR="00D7098B">
          <w:rPr>
            <w:noProof/>
            <w:webHidden/>
          </w:rPr>
          <w:tab/>
        </w:r>
        <w:r w:rsidR="00D7098B">
          <w:rPr>
            <w:noProof/>
            <w:webHidden/>
          </w:rPr>
          <w:fldChar w:fldCharType="begin"/>
        </w:r>
        <w:r w:rsidR="00D7098B">
          <w:rPr>
            <w:noProof/>
            <w:webHidden/>
          </w:rPr>
          <w:instrText xml:space="preserve"> PAGEREF _Toc375295766 \h </w:instrText>
        </w:r>
        <w:r w:rsidR="00D7098B">
          <w:rPr>
            <w:noProof/>
            <w:webHidden/>
          </w:rPr>
        </w:r>
        <w:r w:rsidR="00D7098B">
          <w:rPr>
            <w:noProof/>
            <w:webHidden/>
          </w:rPr>
          <w:fldChar w:fldCharType="separate"/>
        </w:r>
        <w:r w:rsidR="00D7098B">
          <w:rPr>
            <w:noProof/>
            <w:webHidden/>
          </w:rPr>
          <w:t>3</w:t>
        </w:r>
        <w:r w:rsidR="003F5AE6">
          <w:rPr>
            <w:noProof/>
            <w:webHidden/>
          </w:rPr>
          <w:t>1</w:t>
        </w:r>
        <w:r w:rsidR="00D7098B">
          <w:rPr>
            <w:noProof/>
            <w:webHidden/>
          </w:rPr>
          <w:fldChar w:fldCharType="end"/>
        </w:r>
      </w:hyperlink>
    </w:p>
    <w:p w:rsidR="003F5AE6" w:rsidRDefault="00005A5E" w:rsidP="003F5AE6">
      <w:pPr>
        <w:pStyle w:val="Spistreci1"/>
        <w:tabs>
          <w:tab w:val="left" w:pos="960"/>
        </w:tabs>
        <w:ind w:left="426" w:hanging="426"/>
        <w:jc w:val="both"/>
        <w:rPr>
          <w:rStyle w:val="Hipercze"/>
          <w:noProof/>
        </w:rPr>
      </w:pPr>
      <w:hyperlink w:anchor="_Toc375295766" w:history="1">
        <w:r w:rsidR="003F5AE6">
          <w:rPr>
            <w:rStyle w:val="Hipercze"/>
            <w:noProof/>
          </w:rPr>
          <w:t>I</w:t>
        </w:r>
        <w:r w:rsidR="003F5AE6" w:rsidRPr="000C3D42">
          <w:rPr>
            <w:rStyle w:val="Hipercze"/>
            <w:noProof/>
          </w:rPr>
          <w:t>.</w:t>
        </w:r>
        <w:r w:rsidR="003F5AE6">
          <w:rPr>
            <w:rFonts w:asciiTheme="minorHAnsi" w:eastAsiaTheme="minorEastAsia" w:hAnsiTheme="minorHAnsi" w:cstheme="minorBidi"/>
            <w:b w:val="0"/>
            <w:caps w:val="0"/>
            <w:noProof/>
            <w:color w:val="auto"/>
            <w:sz w:val="22"/>
            <w:szCs w:val="22"/>
            <w:lang w:val="pl-PL"/>
          </w:rPr>
          <w:tab/>
        </w:r>
        <w:r w:rsidR="003F5AE6" w:rsidRPr="000C3D42">
          <w:rPr>
            <w:rStyle w:val="Hipercze"/>
            <w:noProof/>
          </w:rPr>
          <w:t xml:space="preserve"> </w:t>
        </w:r>
        <w:r w:rsidR="003F5AE6" w:rsidRPr="003F5AE6">
          <w:rPr>
            <w:rStyle w:val="Hipercze"/>
            <w:noProof/>
          </w:rPr>
          <w:t>ZARZĄDZANIE OGRANICZENIAMI SYSTEMOWYMI</w:t>
        </w:r>
        <w:r w:rsidR="003F5AE6">
          <w:rPr>
            <w:noProof/>
            <w:webHidden/>
          </w:rPr>
          <w:tab/>
        </w:r>
        <w:r w:rsidR="003F5AE6">
          <w:rPr>
            <w:noProof/>
            <w:webHidden/>
          </w:rPr>
          <w:fldChar w:fldCharType="begin"/>
        </w:r>
        <w:r w:rsidR="003F5AE6">
          <w:rPr>
            <w:noProof/>
            <w:webHidden/>
          </w:rPr>
          <w:instrText xml:space="preserve"> PAGEREF _Toc375295766 \h </w:instrText>
        </w:r>
        <w:r w:rsidR="003F5AE6">
          <w:rPr>
            <w:noProof/>
            <w:webHidden/>
          </w:rPr>
        </w:r>
        <w:r w:rsidR="003F5AE6">
          <w:rPr>
            <w:noProof/>
            <w:webHidden/>
          </w:rPr>
          <w:fldChar w:fldCharType="separate"/>
        </w:r>
        <w:r w:rsidR="003F5AE6">
          <w:rPr>
            <w:noProof/>
            <w:webHidden/>
          </w:rPr>
          <w:t>32</w:t>
        </w:r>
        <w:r w:rsidR="003F5AE6">
          <w:rPr>
            <w:noProof/>
            <w:webHidden/>
          </w:rPr>
          <w:fldChar w:fldCharType="end"/>
        </w:r>
      </w:hyperlink>
    </w:p>
    <w:p w:rsidR="00E44EE3" w:rsidRDefault="00005A5E" w:rsidP="00E44EE3">
      <w:pPr>
        <w:pStyle w:val="Spistreci1"/>
        <w:tabs>
          <w:tab w:val="left" w:pos="960"/>
        </w:tabs>
        <w:ind w:left="426" w:hanging="426"/>
        <w:jc w:val="both"/>
        <w:rPr>
          <w:rFonts w:asciiTheme="minorHAnsi" w:eastAsiaTheme="minorEastAsia" w:hAnsiTheme="minorHAnsi" w:cstheme="minorBidi"/>
          <w:b w:val="0"/>
          <w:caps w:val="0"/>
          <w:noProof/>
          <w:color w:val="auto"/>
          <w:sz w:val="22"/>
          <w:szCs w:val="22"/>
          <w:lang w:val="pl-PL"/>
        </w:rPr>
      </w:pPr>
      <w:hyperlink w:anchor="_Toc375295766" w:history="1">
        <w:r w:rsidR="00E44EE3">
          <w:rPr>
            <w:rStyle w:val="Hipercze"/>
            <w:noProof/>
          </w:rPr>
          <w:t>J</w:t>
        </w:r>
        <w:r w:rsidR="00E44EE3" w:rsidRPr="000C3D42">
          <w:rPr>
            <w:rStyle w:val="Hipercze"/>
            <w:noProof/>
          </w:rPr>
          <w:t>.</w:t>
        </w:r>
        <w:r w:rsidR="00E44EE3">
          <w:rPr>
            <w:rFonts w:asciiTheme="minorHAnsi" w:eastAsiaTheme="minorEastAsia" w:hAnsiTheme="minorHAnsi" w:cstheme="minorBidi"/>
            <w:b w:val="0"/>
            <w:caps w:val="0"/>
            <w:noProof/>
            <w:color w:val="auto"/>
            <w:sz w:val="22"/>
            <w:szCs w:val="22"/>
            <w:lang w:val="pl-PL"/>
          </w:rPr>
          <w:tab/>
        </w:r>
        <w:r w:rsidR="00E44EE3" w:rsidRPr="000C3D42">
          <w:rPr>
            <w:rStyle w:val="Hipercze"/>
            <w:noProof/>
          </w:rPr>
          <w:t xml:space="preserve"> </w:t>
        </w:r>
        <w:r w:rsidR="00E44EE3" w:rsidRPr="00E44EE3">
          <w:rPr>
            <w:rStyle w:val="Hipercze"/>
            <w:noProof/>
          </w:rPr>
          <w:t>SŁOWNIK POJĘĆ I DEFINICJI</w:t>
        </w:r>
        <w:r w:rsidR="00E44EE3">
          <w:rPr>
            <w:noProof/>
            <w:webHidden/>
          </w:rPr>
          <w:tab/>
        </w:r>
        <w:r w:rsidR="00E44EE3">
          <w:rPr>
            <w:noProof/>
            <w:webHidden/>
          </w:rPr>
          <w:fldChar w:fldCharType="begin"/>
        </w:r>
        <w:r w:rsidR="00E44EE3">
          <w:rPr>
            <w:noProof/>
            <w:webHidden/>
          </w:rPr>
          <w:instrText xml:space="preserve"> PAGEREF _Toc375295766 \h </w:instrText>
        </w:r>
        <w:r w:rsidR="00E44EE3">
          <w:rPr>
            <w:noProof/>
            <w:webHidden/>
          </w:rPr>
        </w:r>
        <w:r w:rsidR="00E44EE3">
          <w:rPr>
            <w:noProof/>
            <w:webHidden/>
          </w:rPr>
          <w:fldChar w:fldCharType="separate"/>
        </w:r>
        <w:r w:rsidR="00E44EE3">
          <w:rPr>
            <w:noProof/>
            <w:webHidden/>
          </w:rPr>
          <w:t>33</w:t>
        </w:r>
        <w:r w:rsidR="00E44EE3">
          <w:rPr>
            <w:noProof/>
            <w:webHidden/>
          </w:rPr>
          <w:fldChar w:fldCharType="end"/>
        </w:r>
      </w:hyperlink>
    </w:p>
    <w:p w:rsidR="00E44EE3" w:rsidRPr="00E44EE3" w:rsidRDefault="00E44EE3" w:rsidP="00E44EE3">
      <w:pPr>
        <w:pStyle w:val="Nagwek1"/>
        <w:rPr>
          <w:rFonts w:eastAsiaTheme="minorEastAsia"/>
          <w:lang w:val="en-GB"/>
        </w:rPr>
      </w:pPr>
    </w:p>
    <w:p w:rsidR="00946EE8" w:rsidRDefault="001A4961" w:rsidP="00E44EE3">
      <w:pPr>
        <w:pStyle w:val="Spistreci1"/>
        <w:tabs>
          <w:tab w:val="left" w:pos="960"/>
        </w:tabs>
        <w:ind w:left="426" w:hanging="426"/>
        <w:jc w:val="both"/>
      </w:pPr>
      <w:r>
        <w:fldChar w:fldCharType="end"/>
      </w:r>
    </w:p>
    <w:p w:rsidR="00946EE8" w:rsidRDefault="00946EE8" w:rsidP="001F76F4">
      <w:pPr>
        <w:pStyle w:val="Spistreci1"/>
        <w:tabs>
          <w:tab w:val="left" w:pos="960"/>
        </w:tabs>
        <w:ind w:left="567" w:hanging="567"/>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946EE8" w:rsidRDefault="00946EE8">
      <w:pPr>
        <w:pStyle w:val="styl0"/>
      </w:pPr>
    </w:p>
    <w:p w:rsidR="00BC0CF2" w:rsidRPr="00F8567E" w:rsidRDefault="00BC0CF2" w:rsidP="00BC0CF2">
      <w:pPr>
        <w:pStyle w:val="Nagwek1"/>
        <w:tabs>
          <w:tab w:val="left" w:pos="567"/>
        </w:tabs>
        <w:ind w:left="0" w:firstLine="0"/>
      </w:pPr>
      <w:bookmarkStart w:id="0" w:name="_Toc106443299"/>
      <w:bookmarkStart w:id="1" w:name="_Toc106525952"/>
      <w:bookmarkStart w:id="2" w:name="_Toc375295762"/>
      <w:r w:rsidRPr="00F8567E">
        <w:lastRenderedPageBreak/>
        <w:t>A.</w:t>
      </w:r>
      <w:r w:rsidRPr="00F8567E">
        <w:tab/>
        <w:t>POSTANOWIENIA WSTĘPNE</w:t>
      </w:r>
      <w:bookmarkEnd w:id="0"/>
      <w:bookmarkEnd w:id="1"/>
      <w:bookmarkEnd w:id="2"/>
    </w:p>
    <w:p w:rsidR="00BC0CF2" w:rsidRPr="00F8567E" w:rsidRDefault="00BC0CF2" w:rsidP="00BC0CF2">
      <w:pPr>
        <w:pStyle w:val="styl0"/>
        <w:tabs>
          <w:tab w:val="left" w:pos="1080"/>
        </w:tabs>
      </w:pPr>
    </w:p>
    <w:p w:rsidR="00BC0CF2" w:rsidRPr="00F8567E" w:rsidRDefault="00BC0CF2" w:rsidP="00BC0CF2">
      <w:pPr>
        <w:pStyle w:val="styl0"/>
        <w:tabs>
          <w:tab w:val="left" w:pos="1080"/>
        </w:tabs>
      </w:pPr>
    </w:p>
    <w:tbl>
      <w:tblPr>
        <w:tblW w:w="0" w:type="auto"/>
        <w:tblLayout w:type="fixed"/>
        <w:tblCellMar>
          <w:left w:w="70" w:type="dxa"/>
          <w:right w:w="70" w:type="dxa"/>
        </w:tblCellMar>
        <w:tblLook w:val="0000" w:firstRow="0" w:lastRow="0" w:firstColumn="0" w:lastColumn="0" w:noHBand="0" w:noVBand="0"/>
      </w:tblPr>
      <w:tblGrid>
        <w:gridCol w:w="1063"/>
        <w:gridCol w:w="8147"/>
      </w:tblGrid>
      <w:tr w:rsidR="00BC0CF2" w:rsidRPr="00F8567E" w:rsidTr="00F021B9">
        <w:trPr>
          <w:cantSplit/>
        </w:trPr>
        <w:tc>
          <w:tcPr>
            <w:tcW w:w="9210" w:type="dxa"/>
            <w:gridSpan w:val="2"/>
          </w:tcPr>
          <w:p w:rsidR="00BC0CF2" w:rsidRPr="00F8567E" w:rsidRDefault="00BC0CF2" w:rsidP="00F021B9">
            <w:pPr>
              <w:pStyle w:val="Nagwek2"/>
              <w:tabs>
                <w:tab w:val="left" w:pos="0"/>
                <w:tab w:val="left" w:pos="1080"/>
              </w:tabs>
              <w:spacing w:before="120"/>
              <w:ind w:left="11" w:firstLine="0"/>
            </w:pPr>
            <w:bookmarkStart w:id="3" w:name="_Toc106443300"/>
            <w:bookmarkStart w:id="4" w:name="_Toc106525953"/>
            <w:r w:rsidRPr="00F8567E">
              <w:t>A.1.</w:t>
            </w:r>
            <w:r w:rsidRPr="00F8567E">
              <w:tab/>
              <w:t>UWARUNKOWANIA FORMALNO-PRAWNE</w:t>
            </w:r>
            <w:bookmarkEnd w:id="3"/>
            <w:bookmarkEnd w:id="4"/>
          </w:p>
          <w:p w:rsidR="00BC0CF2" w:rsidRPr="00F8567E" w:rsidRDefault="00BC0CF2" w:rsidP="00F021B9">
            <w:pPr>
              <w:rPr>
                <w:color w:val="auto"/>
              </w:rPr>
            </w:pP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A.1.1.</w:t>
            </w:r>
          </w:p>
        </w:tc>
        <w:tc>
          <w:tcPr>
            <w:tcW w:w="8147" w:type="dxa"/>
          </w:tcPr>
          <w:p w:rsidR="00BC0CF2" w:rsidRPr="00F8567E" w:rsidRDefault="00BC0CF2" w:rsidP="00F021B9">
            <w:pPr>
              <w:ind w:firstLine="0"/>
              <w:rPr>
                <w:color w:val="auto"/>
              </w:rPr>
            </w:pPr>
            <w:r w:rsidRPr="00F8567E">
              <w:rPr>
                <w:color w:val="auto"/>
              </w:rPr>
              <w:t xml:space="preserve">Uwarunkowania formalno-prawne części Instrukcji Ruchu i Eksploatacji Sieci Dystrybucyjnej – </w:t>
            </w:r>
            <w:r>
              <w:rPr>
                <w:color w:val="auto"/>
              </w:rPr>
              <w:t>B</w:t>
            </w:r>
            <w:r w:rsidRPr="00F8567E">
              <w:rPr>
                <w:color w:val="auto"/>
              </w:rPr>
              <w:t>ilansowanie systemu dystrybucyjnego i zarządzanie ograniczeniami systemowymi (</w:t>
            </w:r>
            <w:proofErr w:type="spellStart"/>
            <w:r w:rsidRPr="00F8567E">
              <w:rPr>
                <w:color w:val="auto"/>
              </w:rPr>
              <w:t>IRiESD</w:t>
            </w:r>
            <w:proofErr w:type="spellEnd"/>
            <w:r w:rsidRPr="00F8567E">
              <w:rPr>
                <w:color w:val="auto"/>
              </w:rPr>
              <w:t>-Bilansowanie) wynikają z następujących przepisów i dokumentów</w:t>
            </w:r>
            <w:r w:rsidR="0088123E">
              <w:rPr>
                <w:color w:val="auto"/>
              </w:rPr>
              <w:t xml:space="preserve"> o których mowa </w:t>
            </w:r>
            <w:r w:rsidRPr="00F8567E">
              <w:rPr>
                <w:color w:val="auto"/>
              </w:rPr>
              <w:t>:</w:t>
            </w:r>
          </w:p>
          <w:p w:rsidR="00BC0CF2" w:rsidRPr="00F8567E" w:rsidRDefault="00BC0CF2" w:rsidP="009F630A">
            <w:pPr>
              <w:pStyle w:val="Stylwyliczanie"/>
              <w:numPr>
                <w:ilvl w:val="0"/>
                <w:numId w:val="13"/>
              </w:numPr>
              <w:rPr>
                <w:color w:val="auto"/>
              </w:rPr>
            </w:pPr>
            <w:r w:rsidRPr="00F8567E">
              <w:rPr>
                <w:color w:val="auto"/>
              </w:rPr>
              <w:t xml:space="preserve">ustawy z dnia 10 kwietnia 1997 r. Prawo energetyczne </w:t>
            </w:r>
            <w:r w:rsidR="00F9038F">
              <w:t>(Dz. U. z 2012r., poz. 1059</w:t>
            </w:r>
            <w:r w:rsidRPr="00F8567E">
              <w:rPr>
                <w:color w:val="auto"/>
              </w:rPr>
              <w:t>)</w:t>
            </w:r>
            <w:r>
              <w:rPr>
                <w:color w:val="auto"/>
              </w:rPr>
              <w:t>,</w:t>
            </w:r>
            <w:r w:rsidRPr="00F8567E">
              <w:rPr>
                <w:color w:val="auto"/>
              </w:rPr>
              <w:t xml:space="preserve"> zwaną dalej „ustawą Prawo energetyczne” oraz wydanymi na jej podstawie aktami wykonawczymi, aktualnymi na dzień wejścia w życie niniejszej Instrukcji,</w:t>
            </w:r>
          </w:p>
          <w:p w:rsidR="00A01127" w:rsidRDefault="00BC0CF2" w:rsidP="009F630A">
            <w:pPr>
              <w:pStyle w:val="Stylwyliczanie"/>
              <w:numPr>
                <w:ilvl w:val="0"/>
                <w:numId w:val="13"/>
              </w:numPr>
              <w:rPr>
                <w:color w:val="auto"/>
              </w:rPr>
            </w:pPr>
            <w:r w:rsidRPr="00A01127">
              <w:rPr>
                <w:color w:val="auto"/>
              </w:rPr>
              <w:t xml:space="preserve">koncesji </w:t>
            </w:r>
            <w:r w:rsidR="00E45165">
              <w:rPr>
                <w:color w:val="auto"/>
              </w:rPr>
              <w:t>OSD</w:t>
            </w:r>
            <w:r w:rsidRPr="00A01127">
              <w:rPr>
                <w:color w:val="auto"/>
              </w:rPr>
              <w:t xml:space="preserve"> na dystrybucję energii elektrycznej</w:t>
            </w:r>
            <w:r w:rsidR="00A01127">
              <w:rPr>
                <w:color w:val="auto"/>
              </w:rPr>
              <w:t>,</w:t>
            </w:r>
          </w:p>
          <w:p w:rsidR="00BC0CF2" w:rsidRPr="00A01127" w:rsidRDefault="00BC0CF2" w:rsidP="009F630A">
            <w:pPr>
              <w:pStyle w:val="Stylwyliczanie"/>
              <w:numPr>
                <w:ilvl w:val="0"/>
                <w:numId w:val="13"/>
              </w:numPr>
              <w:rPr>
                <w:color w:val="auto"/>
              </w:rPr>
            </w:pPr>
            <w:r w:rsidRPr="00A01127">
              <w:rPr>
                <w:color w:val="auto"/>
              </w:rPr>
              <w:t xml:space="preserve"> </w:t>
            </w:r>
            <w:r w:rsidR="0088123E" w:rsidRPr="00A01127">
              <w:rPr>
                <w:color w:val="auto"/>
              </w:rPr>
              <w:t xml:space="preserve">taryfy </w:t>
            </w:r>
            <w:r w:rsidR="00E45165">
              <w:rPr>
                <w:color w:val="auto"/>
              </w:rPr>
              <w:t>OSD</w:t>
            </w:r>
            <w:r w:rsidRPr="00A01127">
              <w:rPr>
                <w:color w:val="auto"/>
              </w:rPr>
              <w:t>,</w:t>
            </w:r>
          </w:p>
          <w:p w:rsidR="00BC0CF2" w:rsidRPr="00F53ADF" w:rsidRDefault="00BC0CF2" w:rsidP="009F630A">
            <w:pPr>
              <w:pStyle w:val="Stylwyliczanie"/>
              <w:numPr>
                <w:ilvl w:val="0"/>
                <w:numId w:val="13"/>
              </w:numPr>
              <w:rPr>
                <w:color w:val="auto"/>
              </w:rPr>
            </w:pPr>
            <w:r w:rsidRPr="00F8567E">
              <w:t>Instrukcji Ruchu i Eksploatacji Sieci Przesyłowej (</w:t>
            </w:r>
            <w:proofErr w:type="spellStart"/>
            <w:r w:rsidRPr="00F8567E">
              <w:t>IRiESP</w:t>
            </w:r>
            <w:proofErr w:type="spellEnd"/>
            <w:r w:rsidRPr="00F8567E">
              <w:t>) opracowanej przez PSE Operator S.A.</w:t>
            </w:r>
          </w:p>
          <w:p w:rsidR="00BC0CF2" w:rsidRPr="00F8567E" w:rsidRDefault="00BC0CF2" w:rsidP="009F37EA">
            <w:pPr>
              <w:pStyle w:val="Akapitzlist"/>
              <w:numPr>
                <w:ilvl w:val="0"/>
                <w:numId w:val="13"/>
              </w:numPr>
              <w:rPr>
                <w:color w:val="auto"/>
              </w:rPr>
            </w:pPr>
            <w:r>
              <w:t>instrukcj</w:t>
            </w:r>
            <w:r w:rsidR="009F37EA">
              <w:t>a</w:t>
            </w:r>
            <w:r>
              <w:t xml:space="preserve"> ruchu i eksploatacji sieci dystrybucyjnych </w:t>
            </w:r>
            <w:proofErr w:type="spellStart"/>
            <w:r>
              <w:t>OSDp</w:t>
            </w:r>
            <w:proofErr w:type="spellEnd"/>
            <w:r w:rsidR="0088123E">
              <w:t xml:space="preserve"> (</w:t>
            </w:r>
            <w:r w:rsidR="00CC0317" w:rsidRPr="00CC0317">
              <w:t>ENEA Operator Sp. z o.o.</w:t>
            </w:r>
            <w:r w:rsidR="0088123E">
              <w:t>)</w:t>
            </w:r>
            <w:r>
              <w:t xml:space="preserve">, </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A.1.2.</w:t>
            </w:r>
          </w:p>
        </w:tc>
        <w:tc>
          <w:tcPr>
            <w:tcW w:w="8147" w:type="dxa"/>
          </w:tcPr>
          <w:p w:rsidR="00BC0CF2" w:rsidRPr="00F8567E" w:rsidRDefault="00BC0CF2" w:rsidP="009B2743">
            <w:pPr>
              <w:pStyle w:val="Tekstpodstawowy"/>
              <w:tabs>
                <w:tab w:val="clear" w:pos="4536"/>
                <w:tab w:val="clear" w:pos="9072"/>
              </w:tabs>
              <w:spacing w:line="240" w:lineRule="auto"/>
              <w:rPr>
                <w:color w:val="auto"/>
              </w:rPr>
            </w:pPr>
            <w:r>
              <w:rPr>
                <w:color w:val="auto"/>
              </w:rPr>
              <w:t>OSD jest operatorem systemu dystrybucyjnego, którego sieć dystrybucyjna nie posiada bezpośredniego połączenia z siecią przesyłową OSP. Zgodnie z postanowieniami usta</w:t>
            </w:r>
            <w:bookmarkStart w:id="5" w:name="_GoBack"/>
            <w:bookmarkEnd w:id="5"/>
            <w:r>
              <w:rPr>
                <w:color w:val="auto"/>
              </w:rPr>
              <w:t xml:space="preserve">wy – Prawo energetyczne art. 9c ust 3a </w:t>
            </w:r>
            <w:r w:rsidR="00E45165">
              <w:rPr>
                <w:color w:val="auto"/>
              </w:rPr>
              <w:t>OSD</w:t>
            </w:r>
            <w:r>
              <w:rPr>
                <w:color w:val="auto"/>
              </w:rPr>
              <w:t xml:space="preserve"> realizuje obowiązki w zakresie współpracy z OSP dla obszaru swojej sieci dystrybucyjnej poprzez </w:t>
            </w:r>
            <w:proofErr w:type="spellStart"/>
            <w:r>
              <w:rPr>
                <w:color w:val="auto"/>
              </w:rPr>
              <w:t>OSDp</w:t>
            </w:r>
            <w:proofErr w:type="spellEnd"/>
            <w:r>
              <w:rPr>
                <w:color w:val="auto"/>
              </w:rPr>
              <w:t xml:space="preserve">, na podstawie stosownej umowy zawartej pomiędzy </w:t>
            </w:r>
            <w:proofErr w:type="spellStart"/>
            <w:r>
              <w:rPr>
                <w:color w:val="auto"/>
              </w:rPr>
              <w:t>OSDp</w:t>
            </w:r>
            <w:proofErr w:type="spellEnd"/>
            <w:r>
              <w:rPr>
                <w:color w:val="auto"/>
              </w:rPr>
              <w:t xml:space="preserve"> a OSD oraz zapisów pkt. A.6.</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Pr>
                <w:color w:val="auto"/>
              </w:rPr>
              <w:t>A.1.3.</w:t>
            </w:r>
          </w:p>
        </w:tc>
        <w:tc>
          <w:tcPr>
            <w:tcW w:w="8147" w:type="dxa"/>
          </w:tcPr>
          <w:p w:rsidR="00BC0CF2" w:rsidRPr="00F8567E" w:rsidRDefault="00BC0CF2" w:rsidP="00E45165">
            <w:pPr>
              <w:pStyle w:val="Tekstpodstawowy"/>
              <w:tabs>
                <w:tab w:val="clear" w:pos="4536"/>
                <w:tab w:val="clear" w:pos="9072"/>
              </w:tabs>
              <w:spacing w:line="240" w:lineRule="auto"/>
              <w:rPr>
                <w:color w:val="auto"/>
              </w:rPr>
            </w:pPr>
            <w:r>
              <w:rPr>
                <w:color w:val="auto"/>
              </w:rPr>
              <w:t xml:space="preserve">OSD realizuje określone w ustawie - Prawo energetyczne obowiązki w zakresie współpracy z OSP dotyczące bilansowania systemu i zarządzania ograniczeniami systemowymi za pośrednictwem </w:t>
            </w:r>
            <w:proofErr w:type="spellStart"/>
            <w:r>
              <w:rPr>
                <w:color w:val="auto"/>
              </w:rPr>
              <w:t>OSDp</w:t>
            </w:r>
            <w:proofErr w:type="spellEnd"/>
            <w:r>
              <w:rPr>
                <w:color w:val="auto"/>
              </w:rPr>
              <w:t xml:space="preserve">, do którego sieci są podłączone sieci </w:t>
            </w:r>
            <w:r w:rsidR="00E45165">
              <w:rPr>
                <w:color w:val="auto"/>
              </w:rPr>
              <w:t>OSD</w:t>
            </w:r>
            <w:r>
              <w:rPr>
                <w:color w:val="auto"/>
              </w:rPr>
              <w:t>.</w:t>
            </w:r>
          </w:p>
        </w:tc>
      </w:tr>
      <w:tr w:rsidR="00BC0CF2" w:rsidRPr="00F8567E" w:rsidTr="00F021B9">
        <w:tc>
          <w:tcPr>
            <w:tcW w:w="1063" w:type="dxa"/>
          </w:tcPr>
          <w:p w:rsidR="00BC0CF2" w:rsidRDefault="00BC0CF2" w:rsidP="00F021B9">
            <w:pPr>
              <w:pStyle w:val="StylTcd"/>
              <w:keepLines w:val="0"/>
              <w:pageBreakBefore w:val="0"/>
              <w:spacing w:after="0"/>
              <w:jc w:val="left"/>
              <w:rPr>
                <w:color w:val="auto"/>
              </w:rPr>
            </w:pPr>
            <w:r>
              <w:rPr>
                <w:color w:val="auto"/>
              </w:rPr>
              <w:t>A.1.4.</w:t>
            </w:r>
          </w:p>
        </w:tc>
        <w:tc>
          <w:tcPr>
            <w:tcW w:w="8147" w:type="dxa"/>
          </w:tcPr>
          <w:p w:rsidR="00BC0CF2" w:rsidRPr="00F8567E" w:rsidRDefault="00BC0CF2" w:rsidP="00F021B9">
            <w:pPr>
              <w:pStyle w:val="Tekstpodstawowy"/>
              <w:tabs>
                <w:tab w:val="clear" w:pos="4536"/>
                <w:tab w:val="clear" w:pos="9072"/>
              </w:tabs>
              <w:spacing w:line="240" w:lineRule="auto"/>
              <w:rPr>
                <w:color w:val="auto"/>
              </w:rPr>
            </w:pPr>
            <w:r w:rsidRPr="00F8567E">
              <w:rPr>
                <w:color w:val="auto"/>
              </w:rPr>
              <w:t xml:space="preserve">Podmiot, którego sieci, urządzenia i instalacje są przyłączone do sieci dystrybucyjnej </w:t>
            </w:r>
            <w:r w:rsidR="00E45165">
              <w:rPr>
                <w:color w:val="auto"/>
              </w:rPr>
              <w:t>OSD</w:t>
            </w:r>
            <w:r>
              <w:rPr>
                <w:color w:val="auto"/>
              </w:rPr>
              <w:t>,</w:t>
            </w:r>
            <w:r w:rsidRPr="00F8567E">
              <w:rPr>
                <w:color w:val="auto"/>
              </w:rPr>
              <w:t xml:space="preserve"> który posiada umowę dystrybucyjną </w:t>
            </w:r>
            <w:r>
              <w:rPr>
                <w:color w:val="auto"/>
              </w:rPr>
              <w:t xml:space="preserve">z </w:t>
            </w:r>
            <w:r w:rsidR="00E45165">
              <w:t>OSD</w:t>
            </w:r>
            <w:r>
              <w:rPr>
                <w:i/>
              </w:rPr>
              <w:t xml:space="preserve"> </w:t>
            </w:r>
            <w:r w:rsidRPr="00F8567E">
              <w:rPr>
                <w:color w:val="auto"/>
              </w:rPr>
              <w:t>albo umowę kompleksową zawartą z</w:t>
            </w:r>
            <w:r>
              <w:rPr>
                <w:color w:val="auto"/>
              </w:rPr>
              <w:t xml:space="preserve"> </w:t>
            </w:r>
            <w:r w:rsidR="00E45165">
              <w:rPr>
                <w:color w:val="auto"/>
              </w:rPr>
              <w:t>OSD</w:t>
            </w:r>
            <w:r>
              <w:rPr>
                <w:color w:val="auto"/>
              </w:rPr>
              <w:t>,</w:t>
            </w:r>
            <w:r w:rsidRPr="00F8567E">
              <w:rPr>
                <w:color w:val="auto"/>
              </w:rPr>
              <w:t xml:space="preserve"> jest Uczestnikiem Rynku Detalicznego (URD).</w:t>
            </w:r>
            <w:r>
              <w:rPr>
                <w:color w:val="auto"/>
              </w:rPr>
              <w:t xml:space="preserve"> </w:t>
            </w:r>
          </w:p>
        </w:tc>
      </w:tr>
      <w:tr w:rsidR="00BC0CF2" w:rsidRPr="00F8567E" w:rsidTr="00F021B9">
        <w:tc>
          <w:tcPr>
            <w:tcW w:w="1063" w:type="dxa"/>
          </w:tcPr>
          <w:p w:rsidR="00BC0CF2" w:rsidRDefault="00BC0CF2" w:rsidP="00F021B9">
            <w:pPr>
              <w:pStyle w:val="StylTcd"/>
              <w:keepLines w:val="0"/>
              <w:pageBreakBefore w:val="0"/>
              <w:spacing w:after="0"/>
              <w:jc w:val="left"/>
              <w:rPr>
                <w:color w:val="auto"/>
              </w:rPr>
            </w:pPr>
          </w:p>
          <w:p w:rsidR="005D71EE" w:rsidRDefault="005D71EE" w:rsidP="005D71EE">
            <w:pPr>
              <w:pStyle w:val="styl0"/>
            </w:pPr>
          </w:p>
          <w:p w:rsidR="005D71EE" w:rsidRDefault="005D71EE" w:rsidP="005D71EE">
            <w:pPr>
              <w:pStyle w:val="styl0"/>
            </w:pPr>
          </w:p>
          <w:p w:rsidR="005D71EE" w:rsidRDefault="005D71EE" w:rsidP="005D71EE">
            <w:pPr>
              <w:pStyle w:val="styl0"/>
            </w:pPr>
          </w:p>
          <w:p w:rsidR="005D71EE" w:rsidRDefault="005D71EE" w:rsidP="005D71EE">
            <w:pPr>
              <w:pStyle w:val="styl0"/>
            </w:pPr>
          </w:p>
          <w:p w:rsidR="005D71EE" w:rsidRDefault="005D71EE" w:rsidP="005D71EE">
            <w:pPr>
              <w:pStyle w:val="styl0"/>
            </w:pPr>
          </w:p>
          <w:p w:rsidR="005D71EE" w:rsidRPr="005D71EE" w:rsidRDefault="005D71EE" w:rsidP="005D71EE">
            <w:pPr>
              <w:pStyle w:val="styl0"/>
            </w:pPr>
          </w:p>
        </w:tc>
        <w:tc>
          <w:tcPr>
            <w:tcW w:w="8147" w:type="dxa"/>
          </w:tcPr>
          <w:p w:rsidR="00BC0CF2" w:rsidRDefault="00BC0CF2" w:rsidP="00F021B9">
            <w:pPr>
              <w:pStyle w:val="Tekstpodstawowy"/>
              <w:tabs>
                <w:tab w:val="clear" w:pos="4536"/>
                <w:tab w:val="clear" w:pos="9072"/>
              </w:tabs>
              <w:spacing w:line="240" w:lineRule="auto"/>
              <w:rPr>
                <w:color w:val="auto"/>
              </w:rPr>
            </w:pPr>
          </w:p>
          <w:p w:rsidR="009F37EA" w:rsidRDefault="009F37EA" w:rsidP="00F021B9">
            <w:pPr>
              <w:pStyle w:val="Tekstpodstawowy"/>
              <w:tabs>
                <w:tab w:val="clear" w:pos="4536"/>
                <w:tab w:val="clear" w:pos="9072"/>
              </w:tabs>
              <w:spacing w:line="240" w:lineRule="auto"/>
              <w:rPr>
                <w:color w:val="auto"/>
              </w:rPr>
            </w:pPr>
          </w:p>
          <w:p w:rsidR="009F37EA" w:rsidRDefault="009F37EA" w:rsidP="00F021B9">
            <w:pPr>
              <w:pStyle w:val="Tekstpodstawowy"/>
              <w:tabs>
                <w:tab w:val="clear" w:pos="4536"/>
                <w:tab w:val="clear" w:pos="9072"/>
              </w:tabs>
              <w:spacing w:line="240" w:lineRule="auto"/>
              <w:rPr>
                <w:color w:val="auto"/>
              </w:rPr>
            </w:pPr>
          </w:p>
          <w:p w:rsidR="009F37EA" w:rsidRDefault="009F37EA" w:rsidP="00F021B9">
            <w:pPr>
              <w:pStyle w:val="Tekstpodstawowy"/>
              <w:tabs>
                <w:tab w:val="clear" w:pos="4536"/>
                <w:tab w:val="clear" w:pos="9072"/>
              </w:tabs>
              <w:spacing w:line="240" w:lineRule="auto"/>
              <w:rPr>
                <w:color w:val="auto"/>
              </w:rPr>
            </w:pPr>
          </w:p>
          <w:p w:rsidR="009F37EA" w:rsidRDefault="009F37EA" w:rsidP="00F021B9">
            <w:pPr>
              <w:pStyle w:val="Tekstpodstawowy"/>
              <w:tabs>
                <w:tab w:val="clear" w:pos="4536"/>
                <w:tab w:val="clear" w:pos="9072"/>
              </w:tabs>
              <w:spacing w:line="240" w:lineRule="auto"/>
              <w:rPr>
                <w:color w:val="auto"/>
              </w:rPr>
            </w:pPr>
          </w:p>
          <w:p w:rsidR="009F37EA" w:rsidRPr="00F8567E" w:rsidRDefault="009F37EA" w:rsidP="00F021B9">
            <w:pPr>
              <w:pStyle w:val="Tekstpodstawowy"/>
              <w:tabs>
                <w:tab w:val="clear" w:pos="4536"/>
                <w:tab w:val="clear" w:pos="9072"/>
              </w:tabs>
              <w:spacing w:line="240" w:lineRule="auto"/>
              <w:rPr>
                <w:color w:val="auto"/>
              </w:rPr>
            </w:pPr>
          </w:p>
        </w:tc>
      </w:tr>
      <w:tr w:rsidR="00BC0CF2" w:rsidRPr="00F8567E" w:rsidTr="00F021B9">
        <w:trPr>
          <w:cantSplit/>
        </w:trPr>
        <w:tc>
          <w:tcPr>
            <w:tcW w:w="9210" w:type="dxa"/>
            <w:gridSpan w:val="2"/>
          </w:tcPr>
          <w:p w:rsidR="00BC0CF2" w:rsidRPr="00F8567E" w:rsidRDefault="00BC0CF2" w:rsidP="00F021B9">
            <w:pPr>
              <w:pStyle w:val="Nagwek2"/>
              <w:tabs>
                <w:tab w:val="left" w:pos="0"/>
                <w:tab w:val="left" w:pos="1080"/>
              </w:tabs>
              <w:spacing w:before="120"/>
              <w:ind w:left="11" w:firstLine="0"/>
            </w:pPr>
            <w:bookmarkStart w:id="6" w:name="_Toc106443301"/>
            <w:bookmarkStart w:id="7" w:name="_Toc106525954"/>
            <w:r w:rsidRPr="00F8567E">
              <w:lastRenderedPageBreak/>
              <w:t>A.2.</w:t>
            </w:r>
            <w:r w:rsidRPr="00F8567E">
              <w:tab/>
              <w:t>ZAKRES PRZEDMIOTOWY I PODMIOTOWY</w:t>
            </w:r>
            <w:bookmarkEnd w:id="6"/>
            <w:bookmarkEnd w:id="7"/>
          </w:p>
          <w:p w:rsidR="00BC0CF2" w:rsidRPr="00F8567E" w:rsidRDefault="00BC0CF2" w:rsidP="00F021B9">
            <w:pPr>
              <w:pStyle w:val="styl0"/>
              <w:spacing w:before="120"/>
            </w:pP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A.2.1.</w:t>
            </w:r>
          </w:p>
        </w:tc>
        <w:tc>
          <w:tcPr>
            <w:tcW w:w="8147" w:type="dxa"/>
          </w:tcPr>
          <w:p w:rsidR="00BC0CF2" w:rsidRPr="00F8567E" w:rsidRDefault="00BC0CF2" w:rsidP="00F021B9">
            <w:pPr>
              <w:tabs>
                <w:tab w:val="clear" w:pos="4536"/>
                <w:tab w:val="clear" w:pos="9072"/>
              </w:tabs>
              <w:autoSpaceDE w:val="0"/>
              <w:autoSpaceDN w:val="0"/>
              <w:adjustRightInd w:val="0"/>
              <w:ind w:firstLine="0"/>
            </w:pPr>
            <w:proofErr w:type="spellStart"/>
            <w:r w:rsidRPr="00F8567E">
              <w:t>IRiESD</w:t>
            </w:r>
            <w:proofErr w:type="spellEnd"/>
            <w:r w:rsidRPr="00F8567E">
              <w:t xml:space="preserve">-Bilansowanie określa zasady, procedury i uwarunkowania bilansowania systemu dystrybucyjnego oraz realizacji umów sprzedaży energii elektrycznej (umowa sprzedaży) zawartych przez podmioty przyłączone do sieci dystrybucyjnej i realizowanych w sieci dystrybucyjnej przez </w:t>
            </w:r>
            <w:r w:rsidR="00E45165">
              <w:t>OSD</w:t>
            </w:r>
            <w:r w:rsidRPr="00F8567E">
              <w:t>, a w szczególności:</w:t>
            </w:r>
          </w:p>
          <w:p w:rsidR="00BC0CF2" w:rsidRPr="00F8567E" w:rsidRDefault="00BC0CF2" w:rsidP="009F630A">
            <w:pPr>
              <w:numPr>
                <w:ilvl w:val="0"/>
                <w:numId w:val="15"/>
              </w:numPr>
            </w:pPr>
            <w:r w:rsidRPr="00F8567E">
              <w:t>podmioty i warunki bilansowania systemu dystrybucyjnego,</w:t>
            </w:r>
          </w:p>
          <w:p w:rsidR="00BC0CF2" w:rsidRPr="00F8567E" w:rsidRDefault="00BC0CF2" w:rsidP="009F630A">
            <w:pPr>
              <w:numPr>
                <w:ilvl w:val="0"/>
                <w:numId w:val="15"/>
              </w:numPr>
            </w:pPr>
            <w:r w:rsidRPr="00F8567E">
              <w:t>zasady kodyfikacji podmiotów,</w:t>
            </w:r>
          </w:p>
          <w:p w:rsidR="00BC0CF2" w:rsidRPr="00F8567E" w:rsidRDefault="00BC0CF2" w:rsidP="009F630A">
            <w:pPr>
              <w:numPr>
                <w:ilvl w:val="0"/>
                <w:numId w:val="15"/>
              </w:numPr>
            </w:pPr>
            <w:r w:rsidRPr="00F8567E">
              <w:t>procedury powiadamiania o zawartych umowach sprzedaży energii elektrycznej i weryfikacji powiadomień oraz wymiany informacji w tym zakresie,</w:t>
            </w:r>
          </w:p>
          <w:p w:rsidR="00BC0CF2" w:rsidRDefault="00BC0CF2" w:rsidP="009F630A">
            <w:pPr>
              <w:numPr>
                <w:ilvl w:val="0"/>
                <w:numId w:val="15"/>
              </w:numPr>
            </w:pPr>
            <w:r w:rsidRPr="00F8567E">
              <w:t>zasady pozyskiwania i udostępniania danych pomiarowych,</w:t>
            </w:r>
          </w:p>
          <w:p w:rsidR="00BC0CF2" w:rsidRPr="00F8567E" w:rsidRDefault="00BC0CF2" w:rsidP="009F630A">
            <w:pPr>
              <w:numPr>
                <w:ilvl w:val="0"/>
                <w:numId w:val="15"/>
              </w:numPr>
            </w:pPr>
            <w:r>
              <w:t xml:space="preserve">zasady współpracy </w:t>
            </w:r>
            <w:r w:rsidR="00E45165">
              <w:t>OSD</w:t>
            </w:r>
            <w:r>
              <w:t xml:space="preserve"> z </w:t>
            </w:r>
            <w:proofErr w:type="spellStart"/>
            <w:r>
              <w:t>OSDp</w:t>
            </w:r>
            <w:proofErr w:type="spellEnd"/>
            <w:r>
              <w:t xml:space="preserve"> w zakresie przekazywania danych pomiarowych dla potrzeb rozliczeń na rynku bilansującym,</w:t>
            </w:r>
          </w:p>
          <w:p w:rsidR="00BC0CF2" w:rsidRPr="00F8567E" w:rsidRDefault="00BC0CF2" w:rsidP="009F630A">
            <w:pPr>
              <w:numPr>
                <w:ilvl w:val="0"/>
                <w:numId w:val="15"/>
              </w:numPr>
            </w:pPr>
            <w:r w:rsidRPr="00F8567E">
              <w:t>procedura zmiany sprzedawcy przez odbiorców,</w:t>
            </w:r>
          </w:p>
          <w:p w:rsidR="00BC0CF2" w:rsidRPr="00F8567E" w:rsidRDefault="00BC0CF2" w:rsidP="009F630A">
            <w:pPr>
              <w:numPr>
                <w:ilvl w:val="0"/>
                <w:numId w:val="15"/>
              </w:numPr>
            </w:pPr>
            <w:r w:rsidRPr="00F8567E">
              <w:t>zasady bilansowania handlowego w obszarze rynku detalicznego,</w:t>
            </w:r>
          </w:p>
          <w:p w:rsidR="00BC0CF2" w:rsidRPr="00F8567E" w:rsidRDefault="00BC0CF2" w:rsidP="009F630A">
            <w:pPr>
              <w:numPr>
                <w:ilvl w:val="0"/>
                <w:numId w:val="15"/>
              </w:numPr>
            </w:pPr>
            <w:r w:rsidRPr="00F8567E">
              <w:t>zasady wyznaczania, przydzielania i weryfikacji standardowych profili zużycia,</w:t>
            </w:r>
          </w:p>
          <w:p w:rsidR="007E3D8F" w:rsidRDefault="007E3D8F" w:rsidP="009F630A">
            <w:pPr>
              <w:numPr>
                <w:ilvl w:val="0"/>
                <w:numId w:val="15"/>
              </w:numPr>
            </w:pPr>
            <w:r>
              <w:t>postępowanie reklamacyjne,</w:t>
            </w:r>
          </w:p>
          <w:p w:rsidR="007E3D8F" w:rsidRDefault="00BC0CF2" w:rsidP="009F630A">
            <w:pPr>
              <w:numPr>
                <w:ilvl w:val="0"/>
                <w:numId w:val="15"/>
              </w:numPr>
            </w:pPr>
            <w:r w:rsidRPr="00F8567E">
              <w:t>zarządzanie ograniczeniami systemowymi</w:t>
            </w:r>
            <w:r w:rsidR="007E3D8F">
              <w:t>,</w:t>
            </w:r>
          </w:p>
          <w:p w:rsidR="00BC0CF2" w:rsidRPr="00F8567E" w:rsidRDefault="007E3D8F" w:rsidP="009F630A">
            <w:pPr>
              <w:numPr>
                <w:ilvl w:val="0"/>
                <w:numId w:val="15"/>
              </w:numPr>
            </w:pPr>
            <w:r>
              <w:t>zasady udzielania informacji i obsługi odbiorców</w:t>
            </w:r>
            <w:r w:rsidR="00BC0CF2" w:rsidRPr="00F8567E">
              <w:t>.</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A.2.2.</w:t>
            </w:r>
          </w:p>
        </w:tc>
        <w:tc>
          <w:tcPr>
            <w:tcW w:w="8147" w:type="dxa"/>
          </w:tcPr>
          <w:p w:rsidR="00BC0CF2" w:rsidRPr="00F8567E" w:rsidRDefault="00BC0CF2" w:rsidP="00F021B9">
            <w:pPr>
              <w:pStyle w:val="Tekstpodstawowy"/>
              <w:tabs>
                <w:tab w:val="clear" w:pos="4536"/>
                <w:tab w:val="clear" w:pos="9072"/>
              </w:tabs>
              <w:spacing w:line="240" w:lineRule="auto"/>
              <w:rPr>
                <w:color w:val="auto"/>
              </w:rPr>
            </w:pPr>
            <w:r w:rsidRPr="00F8567E">
              <w:rPr>
                <w:color w:val="auto"/>
              </w:rPr>
              <w:t xml:space="preserve">Obszar objęty bilansowaniem określonym w </w:t>
            </w:r>
            <w:proofErr w:type="spellStart"/>
            <w:r w:rsidRPr="00F8567E">
              <w:rPr>
                <w:color w:val="auto"/>
              </w:rPr>
              <w:t>IRiESD</w:t>
            </w:r>
            <w:proofErr w:type="spellEnd"/>
            <w:r w:rsidRPr="00F8567E">
              <w:rPr>
                <w:color w:val="auto"/>
              </w:rPr>
              <w:t xml:space="preserve">-Bilansowanie obejmuje sieć dystrybucyjną </w:t>
            </w:r>
            <w:r w:rsidR="00E45165">
              <w:rPr>
                <w:color w:val="auto"/>
              </w:rPr>
              <w:t>OSD</w:t>
            </w:r>
            <w:r>
              <w:rPr>
                <w:color w:val="auto"/>
              </w:rPr>
              <w:t>.</w:t>
            </w:r>
          </w:p>
        </w:tc>
      </w:tr>
      <w:tr w:rsidR="00BC0CF2" w:rsidRPr="00F8567E" w:rsidTr="00F021B9">
        <w:tc>
          <w:tcPr>
            <w:tcW w:w="1063" w:type="dxa"/>
          </w:tcPr>
          <w:p w:rsidR="00BC0CF2" w:rsidRPr="00F8567E" w:rsidRDefault="00BC0CF2" w:rsidP="00F021B9">
            <w:pPr>
              <w:tabs>
                <w:tab w:val="left" w:pos="0"/>
              </w:tabs>
              <w:ind w:right="-57" w:firstLine="0"/>
              <w:jc w:val="left"/>
              <w:rPr>
                <w:color w:val="auto"/>
              </w:rPr>
            </w:pPr>
            <w:r w:rsidRPr="00F8567E">
              <w:rPr>
                <w:color w:val="auto"/>
              </w:rPr>
              <w:t>A.2.3.</w:t>
            </w:r>
          </w:p>
        </w:tc>
        <w:tc>
          <w:tcPr>
            <w:tcW w:w="8147" w:type="dxa"/>
          </w:tcPr>
          <w:p w:rsidR="00BC0CF2" w:rsidRPr="00F8567E" w:rsidRDefault="00BC0CF2" w:rsidP="00F021B9">
            <w:pPr>
              <w:tabs>
                <w:tab w:val="clear" w:pos="4536"/>
                <w:tab w:val="clear" w:pos="9072"/>
              </w:tabs>
              <w:ind w:firstLine="0"/>
              <w:rPr>
                <w:color w:val="auto"/>
              </w:rPr>
            </w:pPr>
            <w:r w:rsidRPr="00F8567E">
              <w:rPr>
                <w:color w:val="auto"/>
              </w:rPr>
              <w:t xml:space="preserve">Procedury bilansowania i zarządzania ograniczeniami systemowymi w sieci dystrybucyjnej określone w </w:t>
            </w:r>
            <w:proofErr w:type="spellStart"/>
            <w:r w:rsidRPr="00F8567E">
              <w:rPr>
                <w:color w:val="auto"/>
              </w:rPr>
              <w:t>IRiESD</w:t>
            </w:r>
            <w:proofErr w:type="spellEnd"/>
            <w:r w:rsidRPr="00F8567E">
              <w:rPr>
                <w:color w:val="auto"/>
              </w:rPr>
              <w:t>-Bilansowanie obowiązują:</w:t>
            </w:r>
          </w:p>
          <w:p w:rsidR="00BC0CF2" w:rsidRDefault="00E45165" w:rsidP="009F630A">
            <w:pPr>
              <w:pStyle w:val="Stylwyliczanie"/>
              <w:numPr>
                <w:ilvl w:val="0"/>
                <w:numId w:val="1"/>
              </w:numPr>
              <w:rPr>
                <w:color w:val="auto"/>
              </w:rPr>
            </w:pPr>
            <w:r>
              <w:rPr>
                <w:color w:val="auto"/>
              </w:rPr>
              <w:t>OSD</w:t>
            </w:r>
            <w:r w:rsidR="00BC0CF2">
              <w:rPr>
                <w:color w:val="auto"/>
              </w:rPr>
              <w:t>,</w:t>
            </w:r>
          </w:p>
          <w:p w:rsidR="00D31C60" w:rsidRDefault="00D31C60" w:rsidP="009F630A">
            <w:pPr>
              <w:pStyle w:val="Stylwyliczanie"/>
              <w:numPr>
                <w:ilvl w:val="0"/>
                <w:numId w:val="1"/>
              </w:numPr>
              <w:rPr>
                <w:color w:val="auto"/>
              </w:rPr>
            </w:pPr>
            <w:r>
              <w:rPr>
                <w:color w:val="auto"/>
              </w:rPr>
              <w:t>operatorów systemów dystrybucyjnych przyłączonych do sieci dystrybucyjnej OSD,</w:t>
            </w:r>
          </w:p>
          <w:p w:rsidR="00293E73" w:rsidRDefault="00D31C60" w:rsidP="00293E73">
            <w:pPr>
              <w:pStyle w:val="Stylwyliczanie"/>
              <w:numPr>
                <w:ilvl w:val="0"/>
                <w:numId w:val="1"/>
              </w:numPr>
              <w:rPr>
                <w:color w:val="auto"/>
              </w:rPr>
            </w:pPr>
            <w:r>
              <w:rPr>
                <w:color w:val="auto"/>
              </w:rPr>
              <w:t>o</w:t>
            </w:r>
            <w:r w:rsidR="00293E73">
              <w:rPr>
                <w:color w:val="auto"/>
              </w:rPr>
              <w:t xml:space="preserve">dbiorców i wytwórców przyłączonych do sieci dystrybucyjnej </w:t>
            </w:r>
            <w:r w:rsidR="00E45165">
              <w:rPr>
                <w:color w:val="auto"/>
              </w:rPr>
              <w:t>OSD</w:t>
            </w:r>
            <w:r w:rsidR="00293E73">
              <w:rPr>
                <w:color w:val="auto"/>
              </w:rPr>
              <w:t>,</w:t>
            </w:r>
          </w:p>
          <w:p w:rsidR="00293E73" w:rsidRDefault="00293E73" w:rsidP="00293E73">
            <w:pPr>
              <w:pStyle w:val="Stylwyliczanie"/>
              <w:numPr>
                <w:ilvl w:val="0"/>
                <w:numId w:val="1"/>
              </w:numPr>
              <w:rPr>
                <w:color w:val="auto"/>
              </w:rPr>
            </w:pPr>
            <w:r>
              <w:rPr>
                <w:color w:val="auto"/>
              </w:rPr>
              <w:t xml:space="preserve">uczestników rynku bilansującego (URB) pełniących funkcję podmiotu odpowiedzialnego za bilansowanie handlowe (POB) na obszarze </w:t>
            </w:r>
            <w:r w:rsidR="00E45165">
              <w:rPr>
                <w:color w:val="auto"/>
              </w:rPr>
              <w:t>OSD</w:t>
            </w:r>
            <w:r>
              <w:rPr>
                <w:color w:val="auto"/>
              </w:rPr>
              <w:t>,</w:t>
            </w:r>
          </w:p>
          <w:p w:rsidR="00293E73" w:rsidRDefault="00293E73" w:rsidP="00293E73">
            <w:pPr>
              <w:pStyle w:val="Stylwyliczanie"/>
              <w:numPr>
                <w:ilvl w:val="0"/>
                <w:numId w:val="1"/>
              </w:numPr>
              <w:rPr>
                <w:color w:val="auto"/>
              </w:rPr>
            </w:pPr>
            <w:r>
              <w:rPr>
                <w:color w:val="auto"/>
              </w:rPr>
              <w:t>sprzedawców energii elektrycznej, który mają zawarte Generalne Umowy Dystrybucji (GUD) z OSD,</w:t>
            </w:r>
          </w:p>
          <w:p w:rsidR="00BC0CF2" w:rsidRPr="00D412B4" w:rsidRDefault="00293E73" w:rsidP="00D412B4">
            <w:pPr>
              <w:pStyle w:val="Stylwyliczanie"/>
              <w:numPr>
                <w:ilvl w:val="0"/>
                <w:numId w:val="1"/>
              </w:numPr>
              <w:rPr>
                <w:color w:val="auto"/>
              </w:rPr>
            </w:pPr>
            <w:r>
              <w:rPr>
                <w:color w:val="auto"/>
              </w:rPr>
              <w:t xml:space="preserve">Operatorów Handlowych (OH) i Handlowo-Technicznych (OHT) reprezentujących podmioty wymienione w punktach od a) do d) w przypadku, gdy ich działalność operatorska dotyczy sieci dystrybucyjnej </w:t>
            </w:r>
            <w:r w:rsidR="00E45165">
              <w:rPr>
                <w:color w:val="auto"/>
              </w:rPr>
              <w:t>OSD</w:t>
            </w:r>
            <w:r>
              <w:rPr>
                <w:color w:val="auto"/>
              </w:rPr>
              <w:t>.</w:t>
            </w:r>
          </w:p>
        </w:tc>
      </w:tr>
      <w:tr w:rsidR="00BC0CF2" w:rsidRPr="00F8567E" w:rsidTr="00F021B9">
        <w:trPr>
          <w:cantSplit/>
        </w:trPr>
        <w:tc>
          <w:tcPr>
            <w:tcW w:w="1063" w:type="dxa"/>
          </w:tcPr>
          <w:p w:rsidR="00BC0CF2" w:rsidRPr="00F8567E" w:rsidRDefault="00BC0CF2" w:rsidP="00F021B9">
            <w:pPr>
              <w:pStyle w:val="Nagwek2"/>
              <w:tabs>
                <w:tab w:val="left" w:pos="1134"/>
                <w:tab w:val="left" w:pos="1418"/>
              </w:tabs>
              <w:spacing w:before="120"/>
              <w:ind w:left="709" w:hanging="698"/>
              <w:rPr>
                <w:szCs w:val="24"/>
              </w:rPr>
            </w:pPr>
            <w:r w:rsidRPr="00F8567E">
              <w:rPr>
                <w:szCs w:val="24"/>
              </w:rPr>
              <w:lastRenderedPageBreak/>
              <w:t xml:space="preserve">A.3. </w:t>
            </w:r>
          </w:p>
        </w:tc>
        <w:tc>
          <w:tcPr>
            <w:tcW w:w="8147" w:type="dxa"/>
          </w:tcPr>
          <w:p w:rsidR="00BC0CF2" w:rsidRPr="00F8567E" w:rsidRDefault="00BC0CF2" w:rsidP="00F021B9">
            <w:pPr>
              <w:pStyle w:val="Nagwek2"/>
              <w:tabs>
                <w:tab w:val="left" w:pos="1134"/>
                <w:tab w:val="left" w:pos="1418"/>
              </w:tabs>
              <w:spacing w:before="120"/>
              <w:ind w:left="11" w:firstLine="0"/>
              <w:rPr>
                <w:szCs w:val="24"/>
              </w:rPr>
            </w:pPr>
            <w:r w:rsidRPr="00F8567E">
              <w:rPr>
                <w:szCs w:val="24"/>
              </w:rPr>
              <w:t>OGÓLNE ZASADY FUNKCJONOWANIA RYNKU BILANSUJĄCEGO I DETALICZNEGO</w:t>
            </w:r>
          </w:p>
          <w:p w:rsidR="00BC0CF2" w:rsidRPr="00F8567E" w:rsidRDefault="00BC0CF2" w:rsidP="00F021B9">
            <w:pPr>
              <w:pStyle w:val="styl0"/>
            </w:pPr>
          </w:p>
        </w:tc>
      </w:tr>
      <w:tr w:rsidR="00BC0CF2" w:rsidRPr="00F8567E" w:rsidTr="00F021B9">
        <w:tc>
          <w:tcPr>
            <w:tcW w:w="1063" w:type="dxa"/>
          </w:tcPr>
          <w:p w:rsidR="00BC0CF2" w:rsidRPr="00F8567E" w:rsidRDefault="00BC0CF2" w:rsidP="00F021B9">
            <w:pPr>
              <w:tabs>
                <w:tab w:val="left" w:pos="0"/>
              </w:tabs>
              <w:ind w:right="-57" w:firstLine="0"/>
              <w:rPr>
                <w:color w:val="auto"/>
                <w:szCs w:val="24"/>
              </w:rPr>
            </w:pPr>
            <w:r w:rsidRPr="00F8567E">
              <w:rPr>
                <w:color w:val="auto"/>
                <w:szCs w:val="24"/>
              </w:rPr>
              <w:t>A.3.1.</w:t>
            </w:r>
          </w:p>
        </w:tc>
        <w:tc>
          <w:tcPr>
            <w:tcW w:w="8147" w:type="dxa"/>
          </w:tcPr>
          <w:p w:rsidR="00BC0CF2" w:rsidRPr="00F8567E" w:rsidRDefault="00BC0CF2" w:rsidP="00F021B9">
            <w:pPr>
              <w:tabs>
                <w:tab w:val="clear" w:pos="4536"/>
                <w:tab w:val="clear" w:pos="9072"/>
              </w:tabs>
              <w:autoSpaceDE w:val="0"/>
              <w:autoSpaceDN w:val="0"/>
              <w:adjustRightInd w:val="0"/>
              <w:ind w:firstLine="0"/>
              <w:rPr>
                <w:bCs/>
                <w:color w:val="auto"/>
                <w:szCs w:val="24"/>
              </w:rPr>
            </w:pPr>
            <w:r w:rsidRPr="00F8567E">
              <w:rPr>
                <w:bCs/>
                <w:color w:val="auto"/>
                <w:szCs w:val="24"/>
              </w:rPr>
              <w:t>Podmiotem odpowiedzialnym za funkcjonowanie Rynku Bilansującego i prowadzenie centralnego mechanizmu bilansowania handlowego jest PSE</w:t>
            </w:r>
            <w:r>
              <w:rPr>
                <w:bCs/>
                <w:color w:val="auto"/>
                <w:szCs w:val="24"/>
              </w:rPr>
              <w:t> </w:t>
            </w:r>
            <w:r w:rsidRPr="00F8567E">
              <w:rPr>
                <w:bCs/>
                <w:color w:val="auto"/>
                <w:szCs w:val="24"/>
              </w:rPr>
              <w:t>Operator S</w:t>
            </w:r>
            <w:r>
              <w:rPr>
                <w:bCs/>
                <w:color w:val="auto"/>
                <w:szCs w:val="24"/>
              </w:rPr>
              <w:t>.</w:t>
            </w:r>
            <w:r w:rsidRPr="00F8567E">
              <w:rPr>
                <w:bCs/>
                <w:color w:val="auto"/>
                <w:szCs w:val="24"/>
              </w:rPr>
              <w:t>A</w:t>
            </w:r>
            <w:r>
              <w:rPr>
                <w:bCs/>
                <w:color w:val="auto"/>
                <w:szCs w:val="24"/>
              </w:rPr>
              <w:t>.</w:t>
            </w:r>
            <w:r w:rsidRPr="00F8567E">
              <w:rPr>
                <w:bCs/>
                <w:color w:val="auto"/>
                <w:szCs w:val="24"/>
              </w:rPr>
              <w:t xml:space="preserve">, który na mocy ustawy </w:t>
            </w:r>
            <w:r>
              <w:rPr>
                <w:bCs/>
                <w:color w:val="auto"/>
                <w:szCs w:val="24"/>
              </w:rPr>
              <w:t xml:space="preserve">- </w:t>
            </w:r>
            <w:r w:rsidRPr="00F8567E">
              <w:rPr>
                <w:bCs/>
                <w:color w:val="auto"/>
                <w:szCs w:val="24"/>
              </w:rPr>
              <w:t>Prawo energetyczne oraz posiadanej koncesji realizuje zadania OSP.</w:t>
            </w:r>
            <w:r>
              <w:rPr>
                <w:bCs/>
                <w:color w:val="auto"/>
                <w:szCs w:val="24"/>
              </w:rPr>
              <w:t xml:space="preserve"> </w:t>
            </w:r>
            <w:r w:rsidRPr="00F8567E">
              <w:rPr>
                <w:bCs/>
                <w:color w:val="auto"/>
                <w:szCs w:val="24"/>
              </w:rPr>
              <w:t xml:space="preserve">Zasady funkcjonowania Rynku Bilansującego określa </w:t>
            </w:r>
            <w:proofErr w:type="spellStart"/>
            <w:r w:rsidRPr="00F8567E">
              <w:rPr>
                <w:bCs/>
                <w:color w:val="auto"/>
                <w:szCs w:val="24"/>
              </w:rPr>
              <w:t>IRiESP</w:t>
            </w:r>
            <w:proofErr w:type="spellEnd"/>
            <w:r w:rsidRPr="00F8567E">
              <w:rPr>
                <w:bCs/>
                <w:color w:val="auto"/>
                <w:szCs w:val="24"/>
              </w:rPr>
              <w:t>-Bilansowanie.</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A.3.2.</w:t>
            </w:r>
          </w:p>
        </w:tc>
        <w:tc>
          <w:tcPr>
            <w:tcW w:w="8147" w:type="dxa"/>
          </w:tcPr>
          <w:p w:rsidR="00BC0CF2" w:rsidRPr="00F8567E" w:rsidRDefault="00E45165" w:rsidP="009D772E">
            <w:pPr>
              <w:tabs>
                <w:tab w:val="clear" w:pos="4536"/>
                <w:tab w:val="clear" w:pos="9072"/>
              </w:tabs>
              <w:ind w:firstLine="0"/>
              <w:rPr>
                <w:szCs w:val="24"/>
              </w:rPr>
            </w:pPr>
            <w:r>
              <w:rPr>
                <w:color w:val="auto"/>
                <w:szCs w:val="24"/>
              </w:rPr>
              <w:t>OSD</w:t>
            </w:r>
            <w:r w:rsidR="00BC0CF2">
              <w:rPr>
                <w:szCs w:val="24"/>
              </w:rPr>
              <w:t xml:space="preserve"> </w:t>
            </w:r>
            <w:r w:rsidR="00BC0CF2" w:rsidRPr="00F8567E">
              <w:rPr>
                <w:szCs w:val="24"/>
              </w:rPr>
              <w:t>w ramach swoich obowiązków, określonych przepisami prawa umożliwia, na podstawie umowy dystrybucji, realizację umów sprzedaży energii elektrycznej</w:t>
            </w:r>
            <w:r w:rsidR="009D772E">
              <w:rPr>
                <w:szCs w:val="24"/>
              </w:rPr>
              <w:t xml:space="preserve"> i umów kompleksowych </w:t>
            </w:r>
            <w:r w:rsidR="00BC0CF2" w:rsidRPr="00F8567E">
              <w:rPr>
                <w:szCs w:val="24"/>
              </w:rPr>
              <w:t>zawartych przez podmioty przyłączone do jego sieci, przy uwzględnieniu możliwości technicznych systemu dystrybucyjnego oraz przy zachowaniu jego bezpieczeństwa.</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A.3.3.</w:t>
            </w:r>
          </w:p>
        </w:tc>
        <w:tc>
          <w:tcPr>
            <w:tcW w:w="8147" w:type="dxa"/>
          </w:tcPr>
          <w:p w:rsidR="00BC0CF2" w:rsidRPr="00F8567E" w:rsidRDefault="00E45165" w:rsidP="00370FA3">
            <w:pPr>
              <w:tabs>
                <w:tab w:val="clear" w:pos="4536"/>
                <w:tab w:val="clear" w:pos="9072"/>
              </w:tabs>
              <w:autoSpaceDE w:val="0"/>
              <w:autoSpaceDN w:val="0"/>
              <w:adjustRightInd w:val="0"/>
              <w:ind w:firstLine="0"/>
              <w:rPr>
                <w:color w:val="auto"/>
                <w:szCs w:val="24"/>
              </w:rPr>
            </w:pPr>
            <w:r>
              <w:rPr>
                <w:color w:val="auto"/>
                <w:szCs w:val="24"/>
              </w:rPr>
              <w:t>OSD</w:t>
            </w:r>
            <w:r w:rsidR="00BC0CF2">
              <w:rPr>
                <w:color w:val="auto"/>
                <w:szCs w:val="24"/>
              </w:rPr>
              <w:t xml:space="preserve"> również w zakresie podmiotów przyłączonych do sieci dystrybucyjnej </w:t>
            </w:r>
            <w:r>
              <w:rPr>
                <w:color w:val="auto"/>
                <w:szCs w:val="24"/>
              </w:rPr>
              <w:t>OSD</w:t>
            </w:r>
            <w:r w:rsidR="00BC0CF2">
              <w:rPr>
                <w:color w:val="auto"/>
                <w:szCs w:val="24"/>
              </w:rPr>
              <w:t xml:space="preserve"> </w:t>
            </w:r>
            <w:r w:rsidR="00BC0CF2" w:rsidRPr="00C756C2">
              <w:rPr>
                <w:color w:val="auto"/>
                <w:szCs w:val="24"/>
              </w:rPr>
              <w:t xml:space="preserve">dla których </w:t>
            </w:r>
            <w:r w:rsidR="00BC0CF2">
              <w:rPr>
                <w:color w:val="auto"/>
                <w:szCs w:val="24"/>
              </w:rPr>
              <w:t xml:space="preserve"> </w:t>
            </w:r>
            <w:proofErr w:type="spellStart"/>
            <w:r w:rsidR="00BC0CF2">
              <w:rPr>
                <w:color w:val="auto"/>
                <w:szCs w:val="24"/>
              </w:rPr>
              <w:t>OSDp</w:t>
            </w:r>
            <w:proofErr w:type="spellEnd"/>
            <w:r w:rsidR="00BC0CF2">
              <w:rPr>
                <w:color w:val="auto"/>
                <w:szCs w:val="24"/>
              </w:rPr>
              <w:t xml:space="preserve"> </w:t>
            </w:r>
            <w:r w:rsidR="00BC0CF2" w:rsidRPr="00C756C2">
              <w:rPr>
                <w:color w:val="auto"/>
                <w:szCs w:val="24"/>
              </w:rPr>
              <w:t>realizuje</w:t>
            </w:r>
            <w:r w:rsidR="00BC0CF2">
              <w:rPr>
                <w:color w:val="auto"/>
                <w:szCs w:val="24"/>
              </w:rPr>
              <w:t xml:space="preserve"> </w:t>
            </w:r>
            <w:r w:rsidR="00BC0CF2" w:rsidRPr="00C756C2">
              <w:rPr>
                <w:color w:val="auto"/>
                <w:szCs w:val="24"/>
              </w:rPr>
              <w:t>obowiązki w zakresie współpracy z OSP</w:t>
            </w:r>
            <w:r w:rsidR="00BC0CF2">
              <w:rPr>
                <w:color w:val="auto"/>
                <w:szCs w:val="24"/>
              </w:rPr>
              <w:t>, zgodnie z zapisami pkt. A.1.2</w:t>
            </w:r>
            <w:r w:rsidR="00BC0CF2" w:rsidRPr="00F8567E">
              <w:rPr>
                <w:color w:val="auto"/>
                <w:szCs w:val="24"/>
              </w:rPr>
              <w:t>.</w:t>
            </w:r>
            <w:r w:rsidR="00BC0CF2">
              <w:rPr>
                <w:color w:val="auto"/>
                <w:szCs w:val="24"/>
              </w:rPr>
              <w:t xml:space="preserve">  </w:t>
            </w:r>
            <w:r w:rsidR="00BC0CF2" w:rsidRPr="00F8567E">
              <w:rPr>
                <w:color w:val="auto"/>
                <w:szCs w:val="24"/>
              </w:rPr>
              <w:t>uczestniczy w administrowaniu rynkiem bilansującym w zakresie obsługi Jednostek Grafikowych (JG), na które składają się Miejsca Dostarczania Energii Rynku Bilansującego (MB)</w:t>
            </w:r>
            <w:r w:rsidR="00BC0CF2">
              <w:rPr>
                <w:color w:val="auto"/>
                <w:szCs w:val="24"/>
              </w:rPr>
              <w:t xml:space="preserve">. </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A.3.4.</w:t>
            </w:r>
          </w:p>
        </w:tc>
        <w:tc>
          <w:tcPr>
            <w:tcW w:w="8147" w:type="dxa"/>
          </w:tcPr>
          <w:p w:rsidR="00BC0CF2" w:rsidRPr="00F8567E" w:rsidRDefault="00BC0CF2" w:rsidP="00F021B9">
            <w:pPr>
              <w:tabs>
                <w:tab w:val="clear" w:pos="4536"/>
                <w:tab w:val="clear" w:pos="9072"/>
              </w:tabs>
              <w:autoSpaceDE w:val="0"/>
              <w:autoSpaceDN w:val="0"/>
              <w:adjustRightInd w:val="0"/>
              <w:ind w:firstLine="0"/>
              <w:rPr>
                <w:color w:val="auto"/>
                <w:szCs w:val="24"/>
              </w:rPr>
            </w:pPr>
            <w:r w:rsidRPr="00F8567E">
              <w:t>Uczestnik Rynku Detalicznego (URD) jest bilansowany handlowo na rynku bilansującym przez URB. URB pełni dla URD na rynku energii elektrycznej, funkcje podmiotu odpowiedzialnego za bilansowanie handlowe (POB).</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A.3.5.</w:t>
            </w:r>
          </w:p>
        </w:tc>
        <w:tc>
          <w:tcPr>
            <w:tcW w:w="8147" w:type="dxa"/>
          </w:tcPr>
          <w:p w:rsidR="00BC0CF2" w:rsidRPr="00F8567E" w:rsidRDefault="00BC0CF2" w:rsidP="00DD50C4">
            <w:pPr>
              <w:pStyle w:val="Default"/>
              <w:spacing w:before="120"/>
              <w:jc w:val="both"/>
            </w:pPr>
            <w:r w:rsidRPr="00F8567E">
              <w:t xml:space="preserve">POB jest wskazywany przez sprzedawcę </w:t>
            </w:r>
            <w:r w:rsidR="00DD50C4">
              <w:t>lub</w:t>
            </w:r>
            <w:r w:rsidRPr="00F8567E">
              <w:t xml:space="preserve"> przedsiębiorstwo zajmujące się wytwarzaniem energii elektrycznej, w umowie o świadczenie usług dystrybucji. Rozliczeń wynikających z niezbilansowania energii elektrycznej dostarczanej i pobieranej z systemu, dla każdego </w:t>
            </w:r>
            <w:r>
              <w:t>punktu poboru energii (PPE)</w:t>
            </w:r>
            <w:r w:rsidRPr="00F8567E">
              <w:t>, dokonuje tylko jeden POB.</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A.3.6.</w:t>
            </w:r>
          </w:p>
        </w:tc>
        <w:tc>
          <w:tcPr>
            <w:tcW w:w="8147" w:type="dxa"/>
          </w:tcPr>
          <w:p w:rsidR="00BC0CF2" w:rsidRPr="00F8567E" w:rsidRDefault="00BC0CF2" w:rsidP="00F021B9">
            <w:pPr>
              <w:tabs>
                <w:tab w:val="clear" w:pos="4536"/>
                <w:tab w:val="clear" w:pos="9072"/>
              </w:tabs>
              <w:ind w:firstLine="0"/>
              <w:rPr>
                <w:szCs w:val="24"/>
              </w:rPr>
            </w:pPr>
            <w:r w:rsidRPr="00F8567E">
              <w:rPr>
                <w:color w:val="auto"/>
                <w:szCs w:val="24"/>
              </w:rPr>
              <w:t>Zmiana POB odbywa się na warunkach i zasadach określonych w rozdziale E</w:t>
            </w:r>
            <w:r w:rsidRPr="00F8567E" w:rsidDel="003B47A6">
              <w:rPr>
                <w:color w:val="auto"/>
                <w:szCs w:val="24"/>
              </w:rPr>
              <w:t xml:space="preserve"> </w:t>
            </w:r>
            <w:r w:rsidRPr="00F8567E">
              <w:rPr>
                <w:color w:val="auto"/>
                <w:szCs w:val="24"/>
              </w:rPr>
              <w:t xml:space="preserve">niniejszej </w:t>
            </w:r>
            <w:proofErr w:type="spellStart"/>
            <w:r w:rsidRPr="00F8567E">
              <w:rPr>
                <w:color w:val="auto"/>
                <w:szCs w:val="24"/>
              </w:rPr>
              <w:t>IRiESD</w:t>
            </w:r>
            <w:proofErr w:type="spellEnd"/>
            <w:r w:rsidRPr="00F8567E">
              <w:rPr>
                <w:color w:val="auto"/>
                <w:szCs w:val="24"/>
              </w:rPr>
              <w:t>-Bilansowanie.</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A.3.7.</w:t>
            </w:r>
          </w:p>
        </w:tc>
        <w:tc>
          <w:tcPr>
            <w:tcW w:w="8147" w:type="dxa"/>
          </w:tcPr>
          <w:p w:rsidR="00BC0CF2" w:rsidRPr="00F8567E" w:rsidRDefault="00BC0CF2" w:rsidP="00F021B9">
            <w:pPr>
              <w:tabs>
                <w:tab w:val="clear" w:pos="4536"/>
                <w:tab w:val="clear" w:pos="9072"/>
              </w:tabs>
              <w:ind w:firstLine="0"/>
              <w:rPr>
                <w:szCs w:val="24"/>
              </w:rPr>
            </w:pPr>
            <w:r w:rsidRPr="00F8567E">
              <w:rPr>
                <w:color w:val="auto"/>
                <w:szCs w:val="24"/>
              </w:rPr>
              <w:t xml:space="preserve">Podstawą dokonania zmiany, o której mowa w pkt. A.3.6., jest wprowadzenie odpowiednich zapisów we wszystkich wymaganych umowach pomiędzy </w:t>
            </w:r>
            <w:r w:rsidR="00E45165">
              <w:rPr>
                <w:color w:val="auto"/>
                <w:szCs w:val="24"/>
              </w:rPr>
              <w:t>OSD</w:t>
            </w:r>
            <w:r w:rsidRPr="00F8567E">
              <w:rPr>
                <w:color w:val="auto"/>
                <w:szCs w:val="24"/>
              </w:rPr>
              <w:t>, sprzedawcą, wytwórcą, dotychczasowym POB i POB przejmującym odpowiedzialność za bilansowanie handlowe, zgodnie z zasadami opisanymi w rozdziale E.</w:t>
            </w:r>
          </w:p>
        </w:tc>
      </w:tr>
      <w:tr w:rsidR="00BC0CF2" w:rsidRPr="00F8567E" w:rsidTr="00F021B9">
        <w:trPr>
          <w:trHeight w:val="975"/>
        </w:trPr>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A.3.8.</w:t>
            </w:r>
          </w:p>
        </w:tc>
        <w:tc>
          <w:tcPr>
            <w:tcW w:w="8147" w:type="dxa"/>
          </w:tcPr>
          <w:p w:rsidR="00BC0CF2" w:rsidRPr="00F8567E" w:rsidRDefault="00BC0CF2" w:rsidP="001C3BE5">
            <w:pPr>
              <w:tabs>
                <w:tab w:val="clear" w:pos="4536"/>
                <w:tab w:val="clear" w:pos="9072"/>
              </w:tabs>
              <w:ind w:firstLine="0"/>
              <w:rPr>
                <w:color w:val="auto"/>
                <w:szCs w:val="24"/>
              </w:rPr>
            </w:pPr>
            <w:r w:rsidRPr="00F8567E">
              <w:rPr>
                <w:color w:val="auto"/>
                <w:szCs w:val="24"/>
              </w:rPr>
              <w:t>Informacja o sprzedawcach</w:t>
            </w:r>
            <w:r>
              <w:rPr>
                <w:color w:val="auto"/>
                <w:szCs w:val="24"/>
              </w:rPr>
              <w:t>,</w:t>
            </w:r>
            <w:r w:rsidRPr="00F8567E">
              <w:rPr>
                <w:color w:val="auto"/>
                <w:szCs w:val="24"/>
              </w:rPr>
              <w:t xml:space="preserve"> o których mowa w ustawie Prawo energetyczne art. 5 ust. 2a) pkt. 1</w:t>
            </w:r>
            <w:r>
              <w:rPr>
                <w:color w:val="auto"/>
                <w:szCs w:val="24"/>
              </w:rPr>
              <w:t>)</w:t>
            </w:r>
            <w:r w:rsidRPr="00F8567E">
              <w:rPr>
                <w:color w:val="auto"/>
                <w:szCs w:val="24"/>
              </w:rPr>
              <w:t xml:space="preserve"> </w:t>
            </w:r>
            <w:r>
              <w:rPr>
                <w:color w:val="auto"/>
                <w:szCs w:val="24"/>
              </w:rPr>
              <w:t>lit.</w:t>
            </w:r>
            <w:r w:rsidRPr="00F8567E">
              <w:rPr>
                <w:color w:val="auto"/>
                <w:szCs w:val="24"/>
              </w:rPr>
              <w:t xml:space="preserve"> </w:t>
            </w:r>
            <w:r w:rsidRPr="00A37F82">
              <w:rPr>
                <w:color w:val="auto"/>
                <w:szCs w:val="24"/>
              </w:rPr>
              <w:t xml:space="preserve">b) (zwanych dalej sprzedawcami rezerwowymi), podana jest na stronie internetowej </w:t>
            </w:r>
            <w:r w:rsidR="00E45165">
              <w:rPr>
                <w:color w:val="auto"/>
                <w:szCs w:val="24"/>
              </w:rPr>
              <w:t>OSD</w:t>
            </w:r>
            <w:r w:rsidRPr="00A37F82">
              <w:rPr>
                <w:color w:val="auto"/>
                <w:szCs w:val="24"/>
              </w:rPr>
              <w:t xml:space="preserve"> pod adresem </w:t>
            </w:r>
            <w:hyperlink r:id="rId9" w:history="1">
              <w:r w:rsidR="00A7724B">
                <w:rPr>
                  <w:rStyle w:val="Hipercze"/>
                </w:rPr>
                <w:t>www.</w:t>
              </w:r>
              <w:r w:rsidR="009F37EA">
                <w:rPr>
                  <w:rStyle w:val="Hipercze"/>
                </w:rPr>
                <w:t>sodapolskaciech</w:t>
              </w:r>
              <w:r w:rsidR="00A7724B">
                <w:rPr>
                  <w:rStyle w:val="Hipercze"/>
                </w:rPr>
                <w:t>.pl</w:t>
              </w:r>
            </w:hyperlink>
            <w:r w:rsidRPr="00A37F82">
              <w:rPr>
                <w:color w:val="0070C0"/>
                <w:szCs w:val="24"/>
                <w:u w:val="single"/>
              </w:rPr>
              <w:t>.</w:t>
            </w:r>
            <w:r>
              <w:rPr>
                <w:color w:val="auto"/>
                <w:szCs w:val="24"/>
              </w:rPr>
              <w:t xml:space="preserve"> </w:t>
            </w:r>
            <w:r>
              <w:rPr>
                <w:i/>
                <w:color w:val="auto"/>
                <w:szCs w:val="24"/>
                <w:shd w:val="clear" w:color="auto" w:fill="FFFF00"/>
              </w:rPr>
              <w:t xml:space="preserve"> </w:t>
            </w:r>
          </w:p>
        </w:tc>
      </w:tr>
      <w:tr w:rsidR="00BC0CF2" w:rsidRPr="00F8567E" w:rsidTr="00F021B9">
        <w:trPr>
          <w:trHeight w:val="975"/>
        </w:trPr>
        <w:tc>
          <w:tcPr>
            <w:tcW w:w="1063" w:type="dxa"/>
          </w:tcPr>
          <w:p w:rsidR="00BC0CF2" w:rsidRPr="00F8567E" w:rsidRDefault="00BC0CF2" w:rsidP="00F021B9">
            <w:pPr>
              <w:tabs>
                <w:tab w:val="left" w:pos="0"/>
              </w:tabs>
              <w:ind w:right="-57" w:firstLine="0"/>
              <w:jc w:val="left"/>
              <w:rPr>
                <w:color w:val="auto"/>
                <w:szCs w:val="24"/>
              </w:rPr>
            </w:pPr>
            <w:r w:rsidRPr="00F8567E">
              <w:rPr>
                <w:color w:val="auto"/>
                <w:szCs w:val="24"/>
              </w:rPr>
              <w:t>A.3.9.</w:t>
            </w:r>
          </w:p>
        </w:tc>
        <w:tc>
          <w:tcPr>
            <w:tcW w:w="8147" w:type="dxa"/>
          </w:tcPr>
          <w:p w:rsidR="00BC0CF2" w:rsidRPr="00F8567E" w:rsidRDefault="00E45165" w:rsidP="00F021B9">
            <w:pPr>
              <w:tabs>
                <w:tab w:val="clear" w:pos="4536"/>
                <w:tab w:val="clear" w:pos="9072"/>
              </w:tabs>
              <w:ind w:firstLine="0"/>
              <w:rPr>
                <w:color w:val="auto"/>
                <w:szCs w:val="24"/>
              </w:rPr>
            </w:pPr>
            <w:r>
              <w:rPr>
                <w:color w:val="auto"/>
                <w:szCs w:val="24"/>
              </w:rPr>
              <w:t>OSD</w:t>
            </w:r>
            <w:r w:rsidR="00BC0CF2">
              <w:rPr>
                <w:color w:val="auto"/>
                <w:szCs w:val="24"/>
              </w:rPr>
              <w:t xml:space="preserve"> </w:t>
            </w:r>
            <w:r w:rsidR="00BC0CF2" w:rsidRPr="00F8567E">
              <w:rPr>
                <w:color w:val="auto"/>
                <w:szCs w:val="24"/>
              </w:rPr>
              <w:t>zamieszcza na swojej stronie internetowej oraz udostępnia do publicznego wglądu w swojej siedzibie:</w:t>
            </w:r>
          </w:p>
          <w:p w:rsidR="00BC0CF2" w:rsidRPr="00370FA3" w:rsidRDefault="00370FA3" w:rsidP="00370FA3">
            <w:pPr>
              <w:pStyle w:val="Akapitzlist"/>
              <w:numPr>
                <w:ilvl w:val="0"/>
                <w:numId w:val="23"/>
              </w:numPr>
              <w:rPr>
                <w:szCs w:val="24"/>
              </w:rPr>
            </w:pPr>
            <w:r w:rsidRPr="00370FA3">
              <w:rPr>
                <w:szCs w:val="24"/>
              </w:rPr>
              <w:t xml:space="preserve">aktualną listę sprzedawców energii elektrycznej, z którymi zawarł umowy o świadczenie usług dystrybucji energii elektrycznej (zwane dalej „Generalnymi Umowami Dystrybucji” lub „GUD” lub „Generalnymi Umowami Dystrybucji” </w:t>
            </w:r>
            <w:r w:rsidRPr="00370FA3">
              <w:rPr>
                <w:szCs w:val="24"/>
              </w:rPr>
              <w:lastRenderedPageBreak/>
              <w:t>lub „GUD-K”),</w:t>
            </w:r>
          </w:p>
          <w:p w:rsidR="00BC0CF2" w:rsidRPr="00F8567E" w:rsidRDefault="00BC0CF2" w:rsidP="009F630A">
            <w:pPr>
              <w:numPr>
                <w:ilvl w:val="0"/>
                <w:numId w:val="23"/>
              </w:numPr>
              <w:tabs>
                <w:tab w:val="left" w:pos="355"/>
              </w:tabs>
              <w:autoSpaceDE w:val="0"/>
              <w:autoSpaceDN w:val="0"/>
              <w:adjustRightInd w:val="0"/>
              <w:rPr>
                <w:szCs w:val="24"/>
              </w:rPr>
            </w:pPr>
            <w:r w:rsidRPr="00F8567E">
              <w:rPr>
                <w:szCs w:val="24"/>
              </w:rPr>
              <w:t>informacje o sprzedawcy z urzędu energii elektrycznej,</w:t>
            </w:r>
          </w:p>
          <w:p w:rsidR="00370FA3" w:rsidRPr="00592B4F" w:rsidRDefault="00370FA3" w:rsidP="00370FA3">
            <w:pPr>
              <w:numPr>
                <w:ilvl w:val="0"/>
                <w:numId w:val="23"/>
              </w:numPr>
              <w:tabs>
                <w:tab w:val="left" w:pos="355"/>
              </w:tabs>
              <w:autoSpaceDE w:val="0"/>
              <w:autoSpaceDN w:val="0"/>
              <w:adjustRightInd w:val="0"/>
              <w:rPr>
                <w:color w:val="auto"/>
                <w:szCs w:val="24"/>
              </w:rPr>
            </w:pPr>
            <w:r>
              <w:rPr>
                <w:szCs w:val="24"/>
              </w:rPr>
              <w:t>wzorce umów zawieranych z użytkownikami systemu, w szczególności wzorce umów zawieranych z odbiorcami końcowymi oraz ze sprzedawcami energii elektrycznej oraz ze sprzedawcami energii elektrycznej i URB pełniących funkcję podmiotu odpowiedzialnego za bilansowanie handlowe,</w:t>
            </w:r>
          </w:p>
          <w:p w:rsidR="00BC0CF2" w:rsidRPr="00F8567E" w:rsidRDefault="00370FA3" w:rsidP="00370FA3">
            <w:pPr>
              <w:numPr>
                <w:ilvl w:val="0"/>
                <w:numId w:val="23"/>
              </w:numPr>
              <w:tabs>
                <w:tab w:val="left" w:pos="355"/>
              </w:tabs>
              <w:autoSpaceDE w:val="0"/>
              <w:autoSpaceDN w:val="0"/>
              <w:adjustRightInd w:val="0"/>
              <w:rPr>
                <w:color w:val="auto"/>
                <w:szCs w:val="24"/>
              </w:rPr>
            </w:pPr>
            <w:r>
              <w:rPr>
                <w:szCs w:val="24"/>
              </w:rPr>
              <w:t>informacje o zasadach i formie dokonywania zgłoszeń umów sprzedaży na obszarze OSD.</w:t>
            </w:r>
          </w:p>
        </w:tc>
      </w:tr>
      <w:tr w:rsidR="00BC0CF2" w:rsidRPr="00F8567E" w:rsidTr="00F021B9">
        <w:trPr>
          <w:trHeight w:val="975"/>
        </w:trPr>
        <w:tc>
          <w:tcPr>
            <w:tcW w:w="1063" w:type="dxa"/>
          </w:tcPr>
          <w:p w:rsidR="00BC0CF2" w:rsidRPr="00F8567E" w:rsidRDefault="00BC0CF2" w:rsidP="00F021B9">
            <w:pPr>
              <w:tabs>
                <w:tab w:val="left" w:pos="0"/>
              </w:tabs>
              <w:ind w:right="-57" w:firstLine="0"/>
              <w:jc w:val="left"/>
              <w:rPr>
                <w:color w:val="auto"/>
                <w:szCs w:val="24"/>
              </w:rPr>
            </w:pPr>
            <w:r>
              <w:rPr>
                <w:color w:val="auto"/>
                <w:szCs w:val="24"/>
              </w:rPr>
              <w:lastRenderedPageBreak/>
              <w:t>A.3.10.</w:t>
            </w:r>
          </w:p>
        </w:tc>
        <w:tc>
          <w:tcPr>
            <w:tcW w:w="8147" w:type="dxa"/>
          </w:tcPr>
          <w:p w:rsidR="00BC0CF2" w:rsidRPr="00F8567E" w:rsidRDefault="00BC0CF2" w:rsidP="00F021B9">
            <w:pPr>
              <w:tabs>
                <w:tab w:val="clear" w:pos="4536"/>
                <w:tab w:val="clear" w:pos="9072"/>
              </w:tabs>
              <w:ind w:firstLine="0"/>
              <w:rPr>
                <w:color w:val="auto"/>
                <w:szCs w:val="24"/>
              </w:rPr>
            </w:pPr>
            <w:r>
              <w:rPr>
                <w:color w:val="auto"/>
                <w:szCs w:val="24"/>
              </w:rPr>
              <w:t xml:space="preserve">Warunki i zakres współpracy </w:t>
            </w:r>
            <w:r w:rsidR="00E45165">
              <w:rPr>
                <w:color w:val="auto"/>
                <w:szCs w:val="24"/>
              </w:rPr>
              <w:t>OSD</w:t>
            </w:r>
            <w:r>
              <w:rPr>
                <w:color w:val="auto"/>
                <w:szCs w:val="24"/>
              </w:rPr>
              <w:t xml:space="preserve"> z </w:t>
            </w:r>
            <w:proofErr w:type="spellStart"/>
            <w:r>
              <w:rPr>
                <w:color w:val="auto"/>
                <w:szCs w:val="24"/>
              </w:rPr>
              <w:t>OSDp</w:t>
            </w:r>
            <w:proofErr w:type="spellEnd"/>
            <w:r>
              <w:rPr>
                <w:color w:val="auto"/>
                <w:szCs w:val="24"/>
              </w:rPr>
              <w:t xml:space="preserve"> określa umowa zawarta pomiędzy </w:t>
            </w:r>
            <w:r w:rsidR="00E45165">
              <w:rPr>
                <w:color w:val="auto"/>
                <w:szCs w:val="24"/>
              </w:rPr>
              <w:t>OSD</w:t>
            </w:r>
            <w:r>
              <w:rPr>
                <w:color w:val="auto"/>
                <w:szCs w:val="24"/>
              </w:rPr>
              <w:t xml:space="preserve">  a </w:t>
            </w:r>
            <w:proofErr w:type="spellStart"/>
            <w:r>
              <w:rPr>
                <w:color w:val="auto"/>
                <w:szCs w:val="24"/>
              </w:rPr>
              <w:t>OSDp</w:t>
            </w:r>
            <w:proofErr w:type="spellEnd"/>
            <w:r>
              <w:rPr>
                <w:color w:val="auto"/>
                <w:szCs w:val="24"/>
              </w:rPr>
              <w:t>, o której mowa w pkt. A. 6. niniejszej instrukcji.</w:t>
            </w:r>
          </w:p>
        </w:tc>
      </w:tr>
      <w:tr w:rsidR="00BC0CF2" w:rsidRPr="00F8567E" w:rsidTr="00F021B9">
        <w:tc>
          <w:tcPr>
            <w:tcW w:w="1063" w:type="dxa"/>
          </w:tcPr>
          <w:p w:rsidR="00BC0CF2" w:rsidRPr="00F8567E" w:rsidRDefault="00BC0CF2" w:rsidP="00F021B9">
            <w:pPr>
              <w:tabs>
                <w:tab w:val="left" w:pos="0"/>
              </w:tabs>
              <w:ind w:right="-57" w:firstLine="0"/>
              <w:jc w:val="left"/>
              <w:rPr>
                <w:color w:val="auto"/>
                <w:szCs w:val="24"/>
              </w:rPr>
            </w:pPr>
          </w:p>
        </w:tc>
        <w:tc>
          <w:tcPr>
            <w:tcW w:w="8147" w:type="dxa"/>
          </w:tcPr>
          <w:p w:rsidR="00BC0CF2" w:rsidRPr="00F8567E" w:rsidRDefault="00BC0CF2" w:rsidP="00F021B9">
            <w:pPr>
              <w:tabs>
                <w:tab w:val="clear" w:pos="4536"/>
                <w:tab w:val="clear" w:pos="9072"/>
              </w:tabs>
              <w:autoSpaceDE w:val="0"/>
              <w:autoSpaceDN w:val="0"/>
              <w:adjustRightInd w:val="0"/>
              <w:ind w:firstLine="0"/>
              <w:rPr>
                <w:color w:val="auto"/>
                <w:szCs w:val="24"/>
              </w:rPr>
            </w:pPr>
          </w:p>
        </w:tc>
      </w:tr>
      <w:tr w:rsidR="00BC0CF2" w:rsidRPr="00F8567E" w:rsidTr="00F021B9">
        <w:trPr>
          <w:cantSplit/>
        </w:trPr>
        <w:tc>
          <w:tcPr>
            <w:tcW w:w="9210" w:type="dxa"/>
            <w:gridSpan w:val="2"/>
          </w:tcPr>
          <w:p w:rsidR="00BC0CF2" w:rsidRPr="00F8567E" w:rsidRDefault="00BC0CF2" w:rsidP="00F021B9">
            <w:pPr>
              <w:pStyle w:val="Nagwek2"/>
              <w:tabs>
                <w:tab w:val="left" w:pos="1080"/>
              </w:tabs>
              <w:spacing w:before="120"/>
              <w:ind w:left="1080" w:hanging="1069"/>
            </w:pPr>
            <w:bookmarkStart w:id="8" w:name="_Toc106443302"/>
            <w:bookmarkStart w:id="9" w:name="_Toc106525955"/>
            <w:r w:rsidRPr="00F8567E">
              <w:t>A.4.</w:t>
            </w:r>
            <w:r w:rsidRPr="00F8567E">
              <w:tab/>
              <w:t>WARUNKI REALIZACJI UMÓW SPRZEDAŻY I UCZESTNICTWA W PROCESIE BILANSOWANIA</w:t>
            </w:r>
            <w:bookmarkEnd w:id="8"/>
            <w:bookmarkEnd w:id="9"/>
          </w:p>
          <w:p w:rsidR="00BC0CF2" w:rsidRPr="00F8567E" w:rsidRDefault="00BC0CF2" w:rsidP="00F021B9">
            <w:pPr>
              <w:rPr>
                <w:color w:val="auto"/>
              </w:rPr>
            </w:pPr>
          </w:p>
        </w:tc>
      </w:tr>
      <w:tr w:rsidR="00BC0CF2" w:rsidRPr="00F8567E" w:rsidTr="00F021B9">
        <w:tc>
          <w:tcPr>
            <w:tcW w:w="1063" w:type="dxa"/>
          </w:tcPr>
          <w:p w:rsidR="00BC0CF2" w:rsidRPr="00F8567E" w:rsidRDefault="00BC0CF2" w:rsidP="00F021B9">
            <w:pPr>
              <w:tabs>
                <w:tab w:val="clear" w:pos="4536"/>
                <w:tab w:val="clear" w:pos="9072"/>
              </w:tabs>
              <w:ind w:firstLine="0"/>
              <w:rPr>
                <w:color w:val="auto"/>
              </w:rPr>
            </w:pPr>
            <w:r w:rsidRPr="00F8567E">
              <w:rPr>
                <w:color w:val="auto"/>
              </w:rPr>
              <w:t>A.4.1.</w:t>
            </w:r>
          </w:p>
        </w:tc>
        <w:tc>
          <w:tcPr>
            <w:tcW w:w="8147" w:type="dxa"/>
          </w:tcPr>
          <w:p w:rsidR="00BC0CF2" w:rsidRPr="00F8567E" w:rsidRDefault="00E45165" w:rsidP="00F021B9">
            <w:pPr>
              <w:tabs>
                <w:tab w:val="clear" w:pos="4536"/>
                <w:tab w:val="clear" w:pos="9072"/>
              </w:tabs>
              <w:ind w:firstLine="0"/>
              <w:rPr>
                <w:color w:val="auto"/>
              </w:rPr>
            </w:pPr>
            <w:r>
              <w:rPr>
                <w:color w:val="auto"/>
                <w:szCs w:val="24"/>
              </w:rPr>
              <w:t>OSD</w:t>
            </w:r>
            <w:r w:rsidR="007255F1">
              <w:rPr>
                <w:color w:val="auto"/>
                <w:szCs w:val="24"/>
              </w:rPr>
              <w:t xml:space="preserve"> </w:t>
            </w:r>
            <w:r w:rsidR="007255F1">
              <w:rPr>
                <w:color w:val="auto"/>
              </w:rPr>
              <w:t>zapewnia użytkownikom systemu dystrybucyjnego realizację umów sprzedaży energii elektrycznej lub umów kompleksowych zawartych przez te podmioty,</w:t>
            </w:r>
            <w:r w:rsidR="007255F1">
              <w:rPr>
                <w:color w:val="auto"/>
                <w:szCs w:val="24"/>
              </w:rPr>
              <w:t xml:space="preserve"> jeżeli zostaną one zgłoszone do </w:t>
            </w:r>
            <w:r>
              <w:rPr>
                <w:color w:val="auto"/>
                <w:szCs w:val="24"/>
              </w:rPr>
              <w:t>OSD</w:t>
            </w:r>
            <w:r w:rsidR="007255F1">
              <w:rPr>
                <w:color w:val="auto"/>
                <w:szCs w:val="24"/>
              </w:rPr>
              <w:t xml:space="preserve"> w obowiązującej formie, trybie i terminie oraz przy spełnieniu przez te podmioty wymagań określonych w </w:t>
            </w:r>
            <w:proofErr w:type="spellStart"/>
            <w:r w:rsidR="007255F1">
              <w:rPr>
                <w:color w:val="auto"/>
                <w:szCs w:val="24"/>
              </w:rPr>
              <w:t>IRiESD</w:t>
            </w:r>
            <w:proofErr w:type="spellEnd"/>
            <w:r w:rsidR="007255F1">
              <w:rPr>
                <w:color w:val="auto"/>
                <w:szCs w:val="24"/>
              </w:rPr>
              <w:t xml:space="preserve"> i odpowiednich umowach dystrybucji.</w:t>
            </w:r>
          </w:p>
        </w:tc>
      </w:tr>
      <w:tr w:rsidR="00BC0CF2" w:rsidRPr="00F8567E" w:rsidTr="00F021B9">
        <w:tc>
          <w:tcPr>
            <w:tcW w:w="1063" w:type="dxa"/>
          </w:tcPr>
          <w:p w:rsidR="00BC0CF2" w:rsidRPr="00F8567E" w:rsidRDefault="00BC0CF2" w:rsidP="00F021B9">
            <w:pPr>
              <w:tabs>
                <w:tab w:val="clear" w:pos="4536"/>
                <w:tab w:val="clear" w:pos="9072"/>
              </w:tabs>
              <w:ind w:firstLine="0"/>
              <w:rPr>
                <w:color w:val="auto"/>
              </w:rPr>
            </w:pPr>
            <w:r w:rsidRPr="00F8567E">
              <w:rPr>
                <w:color w:val="auto"/>
              </w:rPr>
              <w:t>A.4.2.</w:t>
            </w:r>
          </w:p>
        </w:tc>
        <w:tc>
          <w:tcPr>
            <w:tcW w:w="8147" w:type="dxa"/>
          </w:tcPr>
          <w:p w:rsidR="00BC0CF2" w:rsidRPr="00F8567E" w:rsidRDefault="00BC0CF2" w:rsidP="00F021B9">
            <w:pPr>
              <w:tabs>
                <w:tab w:val="clear" w:pos="4536"/>
                <w:tab w:val="clear" w:pos="9072"/>
              </w:tabs>
              <w:ind w:firstLine="0"/>
              <w:rPr>
                <w:color w:val="auto"/>
              </w:rPr>
            </w:pPr>
            <w:r w:rsidRPr="00F8567E">
              <w:rPr>
                <w:color w:val="auto"/>
              </w:rPr>
              <w:t>Wytwórcy, odbiorcy oraz sprzedawcy</w:t>
            </w:r>
            <w:r>
              <w:rPr>
                <w:color w:val="auto"/>
              </w:rPr>
              <w:t>,</w:t>
            </w:r>
            <w:r w:rsidRPr="00F8567E">
              <w:rPr>
                <w:color w:val="auto"/>
              </w:rPr>
              <w:t xml:space="preserve"> którzy posiadają zawartą z </w:t>
            </w:r>
            <w:r w:rsidR="00E45165">
              <w:rPr>
                <w:color w:val="auto"/>
                <w:szCs w:val="24"/>
              </w:rPr>
              <w:t>OSD</w:t>
            </w:r>
            <w:r>
              <w:rPr>
                <w:color w:val="auto"/>
                <w:szCs w:val="24"/>
              </w:rPr>
              <w:t xml:space="preserve"> </w:t>
            </w:r>
            <w:r w:rsidRPr="00F8567E">
              <w:rPr>
                <w:color w:val="auto"/>
              </w:rPr>
              <w:t>umowę dystrybucji</w:t>
            </w:r>
            <w:r>
              <w:rPr>
                <w:color w:val="auto"/>
              </w:rPr>
              <w:t>,</w:t>
            </w:r>
            <w:r w:rsidRPr="00F8567E">
              <w:rPr>
                <w:color w:val="auto"/>
              </w:rPr>
              <w:t xml:space="preserve"> mogą zlecić wykonywanie swoich obowiązków wynikających z </w:t>
            </w:r>
            <w:proofErr w:type="spellStart"/>
            <w:r w:rsidRPr="00F8567E">
              <w:rPr>
                <w:color w:val="auto"/>
              </w:rPr>
              <w:t>IRiESD</w:t>
            </w:r>
            <w:proofErr w:type="spellEnd"/>
            <w:r w:rsidRPr="00F8567E">
              <w:rPr>
                <w:color w:val="auto"/>
              </w:rPr>
              <w:t>-Bilansowanie innym podmiotom</w:t>
            </w:r>
            <w:r>
              <w:rPr>
                <w:color w:val="auto"/>
              </w:rPr>
              <w:t>, o ile nie jest to sprzeczne z postanowieniami obowiązującego prawa i posiadanymi koncesjami</w:t>
            </w:r>
            <w:r w:rsidRPr="00F8567E">
              <w:rPr>
                <w:color w:val="auto"/>
              </w:rPr>
              <w:t>. Podmioty te działają w imieniu i na rzecz wytwórcy, odbiorcy lub sprzedawcy.</w:t>
            </w:r>
          </w:p>
        </w:tc>
      </w:tr>
      <w:tr w:rsidR="00BC0CF2" w:rsidRPr="00F8567E" w:rsidTr="00F021B9">
        <w:tc>
          <w:tcPr>
            <w:tcW w:w="1063" w:type="dxa"/>
          </w:tcPr>
          <w:p w:rsidR="00BC0CF2" w:rsidRPr="00F8567E" w:rsidRDefault="00BC0CF2" w:rsidP="00F021B9">
            <w:pPr>
              <w:tabs>
                <w:tab w:val="clear" w:pos="4536"/>
                <w:tab w:val="clear" w:pos="9072"/>
              </w:tabs>
              <w:ind w:firstLine="0"/>
              <w:rPr>
                <w:b/>
                <w:color w:val="auto"/>
                <w:szCs w:val="24"/>
              </w:rPr>
            </w:pPr>
          </w:p>
        </w:tc>
        <w:tc>
          <w:tcPr>
            <w:tcW w:w="8147" w:type="dxa"/>
          </w:tcPr>
          <w:p w:rsidR="00BC0CF2" w:rsidRPr="00F8567E" w:rsidRDefault="00BC0CF2" w:rsidP="00F021B9">
            <w:pPr>
              <w:tabs>
                <w:tab w:val="clear" w:pos="4536"/>
                <w:tab w:val="clear" w:pos="9072"/>
              </w:tabs>
              <w:autoSpaceDE w:val="0"/>
              <w:autoSpaceDN w:val="0"/>
              <w:adjustRightInd w:val="0"/>
              <w:ind w:firstLine="0"/>
              <w:jc w:val="left"/>
              <w:rPr>
                <w:b/>
                <w:bCs/>
                <w:color w:val="auto"/>
                <w:szCs w:val="24"/>
              </w:rPr>
            </w:pPr>
          </w:p>
        </w:tc>
      </w:tr>
      <w:tr w:rsidR="00BC0CF2" w:rsidRPr="00F8567E" w:rsidTr="00F021B9">
        <w:tc>
          <w:tcPr>
            <w:tcW w:w="1063" w:type="dxa"/>
          </w:tcPr>
          <w:p w:rsidR="00BC0CF2" w:rsidRPr="00F8567E" w:rsidRDefault="00BC0CF2" w:rsidP="00F021B9">
            <w:pPr>
              <w:tabs>
                <w:tab w:val="clear" w:pos="4536"/>
                <w:tab w:val="clear" w:pos="9072"/>
              </w:tabs>
              <w:ind w:firstLine="0"/>
              <w:rPr>
                <w:b/>
                <w:color w:val="auto"/>
                <w:szCs w:val="24"/>
              </w:rPr>
            </w:pPr>
            <w:r w:rsidRPr="00F8567E">
              <w:rPr>
                <w:b/>
                <w:color w:val="auto"/>
                <w:szCs w:val="24"/>
              </w:rPr>
              <w:t>A.4.3.</w:t>
            </w:r>
          </w:p>
        </w:tc>
        <w:tc>
          <w:tcPr>
            <w:tcW w:w="8147" w:type="dxa"/>
          </w:tcPr>
          <w:p w:rsidR="00BC0CF2" w:rsidRPr="00F8567E" w:rsidRDefault="00BC0CF2" w:rsidP="00F021B9">
            <w:pPr>
              <w:tabs>
                <w:tab w:val="clear" w:pos="4536"/>
                <w:tab w:val="clear" w:pos="9072"/>
              </w:tabs>
              <w:autoSpaceDE w:val="0"/>
              <w:autoSpaceDN w:val="0"/>
              <w:adjustRightInd w:val="0"/>
              <w:ind w:firstLine="0"/>
              <w:jc w:val="left"/>
              <w:rPr>
                <w:b/>
                <w:i/>
                <w:color w:val="auto"/>
                <w:szCs w:val="24"/>
              </w:rPr>
            </w:pPr>
            <w:r w:rsidRPr="00F8567E">
              <w:rPr>
                <w:b/>
                <w:bCs/>
                <w:color w:val="auto"/>
                <w:szCs w:val="24"/>
              </w:rPr>
              <w:t>Warunki i wymagania formalno-prawne</w:t>
            </w:r>
          </w:p>
        </w:tc>
      </w:tr>
      <w:tr w:rsidR="00BC0CF2" w:rsidRPr="00F8567E" w:rsidTr="00F021B9">
        <w:tc>
          <w:tcPr>
            <w:tcW w:w="1063" w:type="dxa"/>
          </w:tcPr>
          <w:p w:rsidR="00BC0CF2" w:rsidRPr="00F8567E" w:rsidRDefault="00BC0CF2" w:rsidP="00F021B9">
            <w:pPr>
              <w:tabs>
                <w:tab w:val="clear" w:pos="4536"/>
                <w:tab w:val="clear" w:pos="9072"/>
              </w:tabs>
              <w:ind w:firstLine="0"/>
              <w:rPr>
                <w:color w:val="auto"/>
                <w:szCs w:val="24"/>
              </w:rPr>
            </w:pPr>
            <w:r w:rsidRPr="00F8567E">
              <w:rPr>
                <w:color w:val="auto"/>
                <w:szCs w:val="24"/>
              </w:rPr>
              <w:t>A.4.3.1.</w:t>
            </w:r>
          </w:p>
        </w:tc>
        <w:tc>
          <w:tcPr>
            <w:tcW w:w="8147" w:type="dxa"/>
          </w:tcPr>
          <w:p w:rsidR="005F2D96" w:rsidRDefault="00E45165" w:rsidP="005F2D96">
            <w:pPr>
              <w:tabs>
                <w:tab w:val="clear" w:pos="4536"/>
                <w:tab w:val="clear" w:pos="9072"/>
              </w:tabs>
              <w:autoSpaceDE w:val="0"/>
              <w:autoSpaceDN w:val="0"/>
              <w:adjustRightInd w:val="0"/>
              <w:ind w:firstLine="0"/>
              <w:rPr>
                <w:color w:val="auto"/>
                <w:szCs w:val="24"/>
              </w:rPr>
            </w:pPr>
            <w:r>
              <w:rPr>
                <w:color w:val="auto"/>
                <w:szCs w:val="24"/>
              </w:rPr>
              <w:t>OSD</w:t>
            </w:r>
            <w:r w:rsidR="005F2D96">
              <w:rPr>
                <w:color w:val="auto"/>
                <w:szCs w:val="24"/>
              </w:rPr>
              <w:t>, z zachowaniem wymagań pkt. A.4.3.5, realizuje zawarte przez URD umowy sprzedaży energii lub umowy kompleksowe, po:</w:t>
            </w:r>
          </w:p>
          <w:p w:rsidR="005F2D96" w:rsidRDefault="005F2D96" w:rsidP="005F2D96">
            <w:pPr>
              <w:numPr>
                <w:ilvl w:val="0"/>
                <w:numId w:val="3"/>
              </w:numPr>
              <w:tabs>
                <w:tab w:val="clear" w:pos="4536"/>
                <w:tab w:val="clear" w:pos="9072"/>
              </w:tabs>
              <w:autoSpaceDE w:val="0"/>
              <w:autoSpaceDN w:val="0"/>
              <w:adjustRightInd w:val="0"/>
              <w:rPr>
                <w:color w:val="auto"/>
                <w:szCs w:val="24"/>
              </w:rPr>
            </w:pPr>
            <w:r>
              <w:rPr>
                <w:color w:val="auto"/>
                <w:szCs w:val="24"/>
              </w:rPr>
              <w:t>uzyskaniu przez URD odpowiednich koncesji - jeżeli jest taki wymóg prawny,</w:t>
            </w:r>
          </w:p>
          <w:p w:rsidR="005F2D96" w:rsidRDefault="005F2D96" w:rsidP="005F2D96">
            <w:pPr>
              <w:numPr>
                <w:ilvl w:val="0"/>
                <w:numId w:val="3"/>
              </w:numPr>
              <w:tabs>
                <w:tab w:val="clear" w:pos="4536"/>
                <w:tab w:val="clear" w:pos="9072"/>
              </w:tabs>
              <w:autoSpaceDE w:val="0"/>
              <w:autoSpaceDN w:val="0"/>
              <w:adjustRightInd w:val="0"/>
              <w:rPr>
                <w:color w:val="auto"/>
                <w:szCs w:val="24"/>
              </w:rPr>
            </w:pPr>
            <w:r>
              <w:rPr>
                <w:color w:val="auto"/>
                <w:szCs w:val="24"/>
              </w:rPr>
              <w:t xml:space="preserve">zawarciu przez URD umowy dystrybucji z </w:t>
            </w:r>
            <w:r w:rsidR="00E45165">
              <w:rPr>
                <w:color w:val="auto"/>
                <w:szCs w:val="24"/>
              </w:rPr>
              <w:t>OSD</w:t>
            </w:r>
            <w:r>
              <w:rPr>
                <w:color w:val="auto"/>
                <w:szCs w:val="24"/>
              </w:rPr>
              <w:t>,</w:t>
            </w:r>
          </w:p>
          <w:p w:rsidR="005F2D96" w:rsidRDefault="005F2D96" w:rsidP="005F2D96">
            <w:pPr>
              <w:numPr>
                <w:ilvl w:val="0"/>
                <w:numId w:val="3"/>
              </w:numPr>
              <w:tabs>
                <w:tab w:val="clear" w:pos="4536"/>
                <w:tab w:val="clear" w:pos="9072"/>
              </w:tabs>
              <w:autoSpaceDE w:val="0"/>
              <w:autoSpaceDN w:val="0"/>
              <w:adjustRightInd w:val="0"/>
              <w:rPr>
                <w:color w:val="auto"/>
                <w:szCs w:val="24"/>
              </w:rPr>
            </w:pPr>
            <w:r>
              <w:rPr>
                <w:color w:val="auto"/>
                <w:szCs w:val="24"/>
              </w:rPr>
              <w:t>zawarciu przez URD</w:t>
            </w:r>
            <w:r>
              <w:rPr>
                <w:color w:val="auto"/>
              </w:rPr>
              <w:t xml:space="preserve"> typu odbiorca (URD</w:t>
            </w:r>
            <w:r>
              <w:rPr>
                <w:color w:val="auto"/>
                <w:vertAlign w:val="subscript"/>
              </w:rPr>
              <w:t>O</w:t>
            </w:r>
            <w:r>
              <w:rPr>
                <w:color w:val="auto"/>
              </w:rPr>
              <w:t>)</w:t>
            </w:r>
            <w:r>
              <w:rPr>
                <w:color w:val="auto"/>
                <w:szCs w:val="24"/>
              </w:rPr>
              <w:t xml:space="preserve"> umowy z wybranym sprzedawcą, posiadającym zawartą GUD lub GUD-K z </w:t>
            </w:r>
            <w:r w:rsidR="00E45165">
              <w:rPr>
                <w:color w:val="auto"/>
                <w:szCs w:val="24"/>
              </w:rPr>
              <w:t>OSD</w:t>
            </w:r>
            <w:r>
              <w:rPr>
                <w:color w:val="auto"/>
              </w:rPr>
              <w:t>,</w:t>
            </w:r>
          </w:p>
          <w:p w:rsidR="00DC44ED" w:rsidRPr="00F8567E" w:rsidRDefault="005F2D96" w:rsidP="005F2D96">
            <w:pPr>
              <w:numPr>
                <w:ilvl w:val="0"/>
                <w:numId w:val="3"/>
              </w:numPr>
              <w:tabs>
                <w:tab w:val="clear" w:pos="4536"/>
                <w:tab w:val="clear" w:pos="9072"/>
              </w:tabs>
              <w:autoSpaceDE w:val="0"/>
              <w:autoSpaceDN w:val="0"/>
              <w:adjustRightInd w:val="0"/>
              <w:rPr>
                <w:color w:val="auto"/>
                <w:szCs w:val="24"/>
              </w:rPr>
            </w:pPr>
            <w:r>
              <w:rPr>
                <w:color w:val="auto"/>
              </w:rPr>
              <w:t>zawarciu przez URD typu wytwórca (URD</w:t>
            </w:r>
            <w:r>
              <w:rPr>
                <w:color w:val="auto"/>
                <w:vertAlign w:val="subscript"/>
              </w:rPr>
              <w:t>W</w:t>
            </w:r>
            <w:r>
              <w:rPr>
                <w:color w:val="auto"/>
              </w:rPr>
              <w:t xml:space="preserve">) umowy </w:t>
            </w:r>
            <w:r>
              <w:rPr>
                <w:color w:val="auto"/>
                <w:szCs w:val="24"/>
              </w:rPr>
              <w:t xml:space="preserve">z wybranym POB, posiadającym zawartą umowę dystrybucji z </w:t>
            </w:r>
            <w:r w:rsidR="00E45165">
              <w:rPr>
                <w:color w:val="auto"/>
                <w:szCs w:val="24"/>
              </w:rPr>
              <w:t>OSD</w:t>
            </w:r>
            <w:r>
              <w:rPr>
                <w:color w:val="auto"/>
                <w:szCs w:val="24"/>
              </w:rPr>
              <w:t>.</w:t>
            </w:r>
          </w:p>
        </w:tc>
      </w:tr>
      <w:tr w:rsidR="00BC0CF2" w:rsidRPr="00F8567E" w:rsidTr="00F021B9">
        <w:tc>
          <w:tcPr>
            <w:tcW w:w="1063" w:type="dxa"/>
          </w:tcPr>
          <w:p w:rsidR="00BC0CF2" w:rsidRPr="00F8567E" w:rsidRDefault="00BC0CF2" w:rsidP="00F021B9">
            <w:pPr>
              <w:tabs>
                <w:tab w:val="clear" w:pos="4536"/>
                <w:tab w:val="clear" w:pos="9072"/>
              </w:tabs>
              <w:ind w:firstLine="0"/>
              <w:rPr>
                <w:color w:val="auto"/>
                <w:szCs w:val="24"/>
              </w:rPr>
            </w:pPr>
            <w:r w:rsidRPr="00F8567E">
              <w:rPr>
                <w:color w:val="auto"/>
                <w:szCs w:val="24"/>
              </w:rPr>
              <w:t>A.4.3.2.</w:t>
            </w:r>
          </w:p>
        </w:tc>
        <w:tc>
          <w:tcPr>
            <w:tcW w:w="8147" w:type="dxa"/>
          </w:tcPr>
          <w:p w:rsidR="0060541D" w:rsidRDefault="0060541D" w:rsidP="0060541D">
            <w:pPr>
              <w:pStyle w:val="styl0"/>
              <w:spacing w:before="120"/>
            </w:pPr>
            <w:r>
              <w:t xml:space="preserve">Umowa dystrybucji zawarta pomiędzy URD a </w:t>
            </w:r>
            <w:r w:rsidR="00E45165">
              <w:rPr>
                <w:szCs w:val="24"/>
              </w:rPr>
              <w:t>OSD</w:t>
            </w:r>
            <w:r>
              <w:t>, spełnia wymagania określone w ustawie Prawo energetyczne i powinna zawierać w szczególności następujące elementy:</w:t>
            </w:r>
          </w:p>
          <w:p w:rsidR="0060541D" w:rsidRDefault="0060541D" w:rsidP="0060541D">
            <w:pPr>
              <w:numPr>
                <w:ilvl w:val="0"/>
                <w:numId w:val="8"/>
              </w:numPr>
              <w:tabs>
                <w:tab w:val="clear" w:pos="4536"/>
                <w:tab w:val="clear" w:pos="9072"/>
              </w:tabs>
              <w:ind w:left="357" w:hanging="357"/>
              <w:rPr>
                <w:color w:val="auto"/>
              </w:rPr>
            </w:pPr>
            <w:r>
              <w:lastRenderedPageBreak/>
              <w:t xml:space="preserve">zobowiązanie stron do stosowania w pełnym zakresie postanowień </w:t>
            </w:r>
            <w:proofErr w:type="spellStart"/>
            <w:r>
              <w:t>IRiESD</w:t>
            </w:r>
            <w:proofErr w:type="spellEnd"/>
            <w:r>
              <w:t>,</w:t>
            </w:r>
          </w:p>
          <w:p w:rsidR="0060541D" w:rsidRDefault="0060541D" w:rsidP="0060541D">
            <w:pPr>
              <w:numPr>
                <w:ilvl w:val="0"/>
                <w:numId w:val="8"/>
              </w:numPr>
              <w:tabs>
                <w:tab w:val="clear" w:pos="4536"/>
                <w:tab w:val="clear" w:pos="9072"/>
              </w:tabs>
              <w:ind w:left="357" w:hanging="357"/>
              <w:rPr>
                <w:color w:val="auto"/>
              </w:rPr>
            </w:pPr>
            <w:r>
              <w:rPr>
                <w:color w:val="auto"/>
              </w:rPr>
              <w:t>wskazanie POB, a w przypadku URD typu wytwórca (URD</w:t>
            </w:r>
            <w:r>
              <w:rPr>
                <w:color w:val="auto"/>
                <w:vertAlign w:val="subscript"/>
              </w:rPr>
              <w:t>W</w:t>
            </w:r>
            <w:r>
              <w:rPr>
                <w:color w:val="auto"/>
              </w:rPr>
              <w:t>) również zasad jego zmiany,</w:t>
            </w:r>
          </w:p>
          <w:p w:rsidR="0060541D" w:rsidRDefault="0060541D" w:rsidP="0060541D">
            <w:pPr>
              <w:numPr>
                <w:ilvl w:val="0"/>
                <w:numId w:val="8"/>
              </w:numPr>
              <w:tabs>
                <w:tab w:val="clear" w:pos="4536"/>
                <w:tab w:val="clear" w:pos="9072"/>
              </w:tabs>
              <w:ind w:left="357" w:hanging="357"/>
              <w:rPr>
                <w:color w:val="auto"/>
              </w:rPr>
            </w:pPr>
            <w:r>
              <w:rPr>
                <w:color w:val="auto"/>
              </w:rPr>
              <w:t xml:space="preserve">sposób i zasady rozliczeń z </w:t>
            </w:r>
            <w:r w:rsidR="00E45165">
              <w:rPr>
                <w:color w:val="auto"/>
                <w:szCs w:val="24"/>
              </w:rPr>
              <w:t>OSD</w:t>
            </w:r>
            <w:r>
              <w:rPr>
                <w:color w:val="auto"/>
                <w:szCs w:val="24"/>
              </w:rPr>
              <w:t xml:space="preserve"> </w:t>
            </w:r>
            <w:r>
              <w:rPr>
                <w:color w:val="auto"/>
              </w:rPr>
              <w:t>z tytułu niezbilansowania dostaw energii elektrycznej, w przypadku utraty POB - dotyczy URD typu wytwórca (URD</w:t>
            </w:r>
            <w:r>
              <w:rPr>
                <w:color w:val="auto"/>
                <w:vertAlign w:val="subscript"/>
              </w:rPr>
              <w:t>W</w:t>
            </w:r>
            <w:r>
              <w:rPr>
                <w:color w:val="auto"/>
              </w:rPr>
              <w:t>),</w:t>
            </w:r>
          </w:p>
          <w:p w:rsidR="0060541D" w:rsidRDefault="0060541D" w:rsidP="0060541D">
            <w:pPr>
              <w:numPr>
                <w:ilvl w:val="0"/>
                <w:numId w:val="8"/>
              </w:numPr>
              <w:tabs>
                <w:tab w:val="clear" w:pos="4536"/>
                <w:tab w:val="clear" w:pos="9072"/>
              </w:tabs>
              <w:ind w:left="357" w:hanging="357"/>
              <w:rPr>
                <w:color w:val="auto"/>
              </w:rPr>
            </w:pPr>
            <w:r>
              <w:rPr>
                <w:color w:val="auto"/>
              </w:rPr>
              <w:t>algorytm wyznaczania rzeczywistej ilości energii w Punkcie Dostarczania Energii (PDE), zgodny z pkt. C.1.5.</w:t>
            </w:r>
          </w:p>
          <w:p w:rsidR="0060541D" w:rsidRPr="00C0044F" w:rsidRDefault="0060541D" w:rsidP="0060541D">
            <w:pPr>
              <w:tabs>
                <w:tab w:val="clear" w:pos="4536"/>
                <w:tab w:val="clear" w:pos="9072"/>
              </w:tabs>
              <w:ind w:firstLine="0"/>
              <w:rPr>
                <w:color w:val="auto"/>
              </w:rPr>
            </w:pPr>
            <w:r w:rsidRPr="00C0044F">
              <w:rPr>
                <w:color w:val="auto"/>
              </w:rPr>
              <w:t>W przypadku gdy URD jest:</w:t>
            </w:r>
          </w:p>
          <w:p w:rsidR="0060541D" w:rsidRPr="00C0044F" w:rsidRDefault="0060541D" w:rsidP="006824F9">
            <w:pPr>
              <w:numPr>
                <w:ilvl w:val="0"/>
                <w:numId w:val="29"/>
              </w:numPr>
              <w:tabs>
                <w:tab w:val="clear" w:pos="4536"/>
                <w:tab w:val="clear" w:pos="9072"/>
              </w:tabs>
              <w:rPr>
                <w:color w:val="auto"/>
              </w:rPr>
            </w:pPr>
            <w:r w:rsidRPr="00C0044F">
              <w:rPr>
                <w:color w:val="auto"/>
              </w:rPr>
              <w:t xml:space="preserve">jednocześnie przedsiębiorstwem energetycznym, dla którego sieci dystrybucyjnej został wyznaczony lub ustanowiony </w:t>
            </w:r>
            <w:r w:rsidR="00E45165">
              <w:rPr>
                <w:color w:val="auto"/>
              </w:rPr>
              <w:t>OSD</w:t>
            </w:r>
            <w:r w:rsidRPr="00C0044F">
              <w:rPr>
                <w:color w:val="auto"/>
              </w:rPr>
              <w:t>,</w:t>
            </w:r>
          </w:p>
          <w:p w:rsidR="0060541D" w:rsidRPr="00C0044F" w:rsidRDefault="0060541D" w:rsidP="006824F9">
            <w:pPr>
              <w:numPr>
                <w:ilvl w:val="0"/>
                <w:numId w:val="29"/>
              </w:numPr>
              <w:tabs>
                <w:tab w:val="clear" w:pos="4536"/>
                <w:tab w:val="clear" w:pos="9072"/>
              </w:tabs>
              <w:rPr>
                <w:color w:val="auto"/>
              </w:rPr>
            </w:pPr>
            <w:r w:rsidRPr="00C0044F">
              <w:rPr>
                <w:color w:val="auto"/>
              </w:rPr>
              <w:t xml:space="preserve">przedsiębiorstwem energetycznym albo Odbiorcą, do którego sieci przyłączony jest </w:t>
            </w:r>
            <w:r w:rsidR="00E45165">
              <w:rPr>
                <w:color w:val="auto"/>
              </w:rPr>
              <w:t>OSD</w:t>
            </w:r>
            <w:r w:rsidRPr="00C0044F">
              <w:rPr>
                <w:color w:val="auto"/>
              </w:rPr>
              <w:t>, o</w:t>
            </w:r>
            <w:r>
              <w:rPr>
                <w:color w:val="auto"/>
              </w:rPr>
              <w:t xml:space="preserve"> którym mowa w pkt. A.2.3 lit. b</w:t>
            </w:r>
            <w:r w:rsidRPr="00C0044F">
              <w:rPr>
                <w:color w:val="auto"/>
              </w:rPr>
              <w:t>)</w:t>
            </w:r>
          </w:p>
          <w:p w:rsidR="00BC0CF2" w:rsidRDefault="0060541D" w:rsidP="0060541D">
            <w:pPr>
              <w:numPr>
                <w:ilvl w:val="0"/>
                <w:numId w:val="8"/>
              </w:numPr>
              <w:tabs>
                <w:tab w:val="clear" w:pos="4536"/>
                <w:tab w:val="clear" w:pos="9072"/>
              </w:tabs>
              <w:ind w:left="357" w:hanging="357"/>
              <w:rPr>
                <w:color w:val="auto"/>
              </w:rPr>
            </w:pPr>
            <w:r w:rsidRPr="00C0044F">
              <w:rPr>
                <w:color w:val="auto"/>
              </w:rPr>
              <w:t xml:space="preserve">w umowie o świadczenie usług dystrybucyjnej należy zawrzeć dodatkowo algorytm wyznaczania energii w PPE dla tego URD z uwzględnieniem </w:t>
            </w:r>
            <w:proofErr w:type="spellStart"/>
            <w:r w:rsidRPr="00C0044F">
              <w:rPr>
                <w:color w:val="auto"/>
              </w:rPr>
              <w:t>URDn</w:t>
            </w:r>
            <w:proofErr w:type="spellEnd"/>
            <w:r w:rsidRPr="00C0044F">
              <w:rPr>
                <w:color w:val="auto"/>
              </w:rPr>
              <w:t>, którzy objęci są umową</w:t>
            </w:r>
            <w:r>
              <w:rPr>
                <w:color w:val="auto"/>
              </w:rPr>
              <w:t>, o których mowa w pkt. A.1.4.</w:t>
            </w:r>
          </w:p>
          <w:p w:rsidR="009D772E" w:rsidRPr="00F8567E" w:rsidRDefault="009D772E" w:rsidP="009D772E">
            <w:pPr>
              <w:tabs>
                <w:tab w:val="clear" w:pos="4536"/>
                <w:tab w:val="clear" w:pos="9072"/>
              </w:tabs>
              <w:ind w:firstLine="0"/>
              <w:rPr>
                <w:color w:val="auto"/>
              </w:rPr>
            </w:pPr>
            <w:r w:rsidRPr="009D772E">
              <w:rPr>
                <w:color w:val="auto"/>
              </w:rPr>
              <w:t>Umowa kompleksowa zawarta przez URD w gospodarstwie domowym</w:t>
            </w:r>
            <w:r>
              <w:rPr>
                <w:color w:val="auto"/>
              </w:rPr>
              <w:t xml:space="preserve"> </w:t>
            </w:r>
            <w:r w:rsidRPr="009D772E">
              <w:rPr>
                <w:color w:val="auto"/>
              </w:rPr>
              <w:t xml:space="preserve">przyłączonym do sieci elektroenergetycznej </w:t>
            </w:r>
            <w:r>
              <w:rPr>
                <w:color w:val="auto"/>
              </w:rPr>
              <w:t>OSD</w:t>
            </w:r>
            <w:r w:rsidRPr="009D772E">
              <w:rPr>
                <w:color w:val="auto"/>
              </w:rPr>
              <w:t xml:space="preserve"> o napięciu</w:t>
            </w:r>
            <w:r>
              <w:rPr>
                <w:color w:val="auto"/>
              </w:rPr>
              <w:t xml:space="preserve"> </w:t>
            </w:r>
            <w:r w:rsidRPr="009D772E">
              <w:rPr>
                <w:color w:val="auto"/>
              </w:rPr>
              <w:t xml:space="preserve">znamionowym do 1 </w:t>
            </w:r>
            <w:proofErr w:type="spellStart"/>
            <w:r w:rsidRPr="009D772E">
              <w:rPr>
                <w:color w:val="auto"/>
              </w:rPr>
              <w:t>kV</w:t>
            </w:r>
            <w:proofErr w:type="spellEnd"/>
            <w:r w:rsidRPr="009D772E">
              <w:rPr>
                <w:color w:val="auto"/>
              </w:rPr>
              <w:t xml:space="preserve"> w zakresie zapisów dotyczących świadczenia usług</w:t>
            </w:r>
            <w:r>
              <w:rPr>
                <w:color w:val="auto"/>
              </w:rPr>
              <w:t xml:space="preserve"> </w:t>
            </w:r>
            <w:r w:rsidRPr="009D772E">
              <w:rPr>
                <w:color w:val="auto"/>
              </w:rPr>
              <w:t>dystrybucji, powinna spełniać wymagania określone w ustawie Prawo</w:t>
            </w:r>
            <w:r>
              <w:rPr>
                <w:color w:val="auto"/>
              </w:rPr>
              <w:t xml:space="preserve"> </w:t>
            </w:r>
            <w:r w:rsidRPr="009D772E">
              <w:rPr>
                <w:color w:val="auto"/>
              </w:rPr>
              <w:t xml:space="preserve">energetyczne oraz GUD-k zawartej pomiędzy </w:t>
            </w:r>
            <w:r>
              <w:rPr>
                <w:color w:val="auto"/>
              </w:rPr>
              <w:t>OSD</w:t>
            </w:r>
            <w:r w:rsidRPr="009D772E">
              <w:rPr>
                <w:color w:val="auto"/>
              </w:rPr>
              <w:t xml:space="preserve"> a Sprzedawcą</w:t>
            </w:r>
            <w:r>
              <w:rPr>
                <w:color w:val="auto"/>
              </w:rPr>
              <w:t>.</w:t>
            </w:r>
          </w:p>
        </w:tc>
      </w:tr>
      <w:tr w:rsidR="00BC0CF2" w:rsidRPr="00F8567E" w:rsidTr="00F021B9">
        <w:tc>
          <w:tcPr>
            <w:tcW w:w="1063" w:type="dxa"/>
          </w:tcPr>
          <w:p w:rsidR="00BC0CF2" w:rsidRPr="00F8567E" w:rsidRDefault="00BC0CF2" w:rsidP="00F021B9">
            <w:pPr>
              <w:tabs>
                <w:tab w:val="clear" w:pos="4536"/>
                <w:tab w:val="clear" w:pos="9072"/>
              </w:tabs>
              <w:ind w:firstLine="0"/>
              <w:rPr>
                <w:color w:val="auto"/>
                <w:szCs w:val="24"/>
              </w:rPr>
            </w:pPr>
            <w:r w:rsidRPr="00F8567E">
              <w:rPr>
                <w:color w:val="auto"/>
                <w:szCs w:val="24"/>
              </w:rPr>
              <w:lastRenderedPageBreak/>
              <w:t>A.4.3.3.</w:t>
            </w:r>
          </w:p>
        </w:tc>
        <w:tc>
          <w:tcPr>
            <w:tcW w:w="8147" w:type="dxa"/>
          </w:tcPr>
          <w:p w:rsidR="00BC0CF2" w:rsidRDefault="00BC0CF2" w:rsidP="00F021B9">
            <w:pPr>
              <w:tabs>
                <w:tab w:val="clear" w:pos="4536"/>
                <w:tab w:val="clear" w:pos="9072"/>
              </w:tabs>
              <w:autoSpaceDE w:val="0"/>
              <w:autoSpaceDN w:val="0"/>
              <w:adjustRightInd w:val="0"/>
              <w:ind w:firstLine="0"/>
              <w:rPr>
                <w:color w:val="auto"/>
                <w:szCs w:val="24"/>
              </w:rPr>
            </w:pPr>
            <w:r w:rsidRPr="00F8567E">
              <w:rPr>
                <w:color w:val="auto"/>
              </w:rPr>
              <w:t xml:space="preserve">Podmiot posiadający: zawartą umowę przesyłową z OSP, przydzielone i uaktywnione przez OSP MB w sieci </w:t>
            </w:r>
            <w:proofErr w:type="spellStart"/>
            <w:r>
              <w:rPr>
                <w:color w:val="auto"/>
              </w:rPr>
              <w:t>OSDp</w:t>
            </w:r>
            <w:proofErr w:type="spellEnd"/>
            <w:r>
              <w:rPr>
                <w:color w:val="auto"/>
              </w:rPr>
              <w:t xml:space="preserve"> realizującego część zakresu operatora pomiarów dla </w:t>
            </w:r>
            <w:r w:rsidR="00E45165">
              <w:rPr>
                <w:color w:val="auto"/>
              </w:rPr>
              <w:t>OSD</w:t>
            </w:r>
            <w:r>
              <w:rPr>
                <w:color w:val="auto"/>
              </w:rPr>
              <w:t xml:space="preserve"> (</w:t>
            </w:r>
            <w:proofErr w:type="spellStart"/>
            <w:r>
              <w:rPr>
                <w:color w:val="auto"/>
              </w:rPr>
              <w:t>OSDp</w:t>
            </w:r>
            <w:proofErr w:type="spellEnd"/>
            <w:r>
              <w:rPr>
                <w:color w:val="auto"/>
              </w:rPr>
              <w:t xml:space="preserve"> realizujący część zakresu operatora pomiarów jest wskazany na stronie internetowej </w:t>
            </w:r>
            <w:hyperlink r:id="rId10" w:history="1">
              <w:r w:rsidR="00A7724B">
                <w:rPr>
                  <w:rStyle w:val="Hipercze"/>
                </w:rPr>
                <w:t>www.</w:t>
              </w:r>
              <w:r w:rsidR="009F37EA">
                <w:rPr>
                  <w:rStyle w:val="Hipercze"/>
                </w:rPr>
                <w:t>sodapolskaciech</w:t>
              </w:r>
              <w:r w:rsidR="00A7724B">
                <w:rPr>
                  <w:rStyle w:val="Hipercze"/>
                </w:rPr>
                <w:t>.pl</w:t>
              </w:r>
            </w:hyperlink>
            <w:r>
              <w:rPr>
                <w:color w:val="auto"/>
              </w:rPr>
              <w:t>)</w:t>
            </w:r>
            <w:r w:rsidRPr="00F8567E">
              <w:rPr>
                <w:color w:val="auto"/>
              </w:rPr>
              <w:t xml:space="preserve">, zawartą umowę </w:t>
            </w:r>
            <w:r w:rsidRPr="00F8567E">
              <w:t xml:space="preserve">o świadczenie usług </w:t>
            </w:r>
            <w:r w:rsidRPr="00F8567E">
              <w:rPr>
                <w:color w:val="auto"/>
              </w:rPr>
              <w:t xml:space="preserve">dystrybucji z </w:t>
            </w:r>
            <w:r w:rsidR="00E45165">
              <w:rPr>
                <w:color w:val="auto"/>
              </w:rPr>
              <w:t>OSD</w:t>
            </w:r>
            <w:r>
              <w:rPr>
                <w:color w:val="auto"/>
              </w:rPr>
              <w:t xml:space="preserve"> oraz z </w:t>
            </w:r>
            <w:proofErr w:type="spellStart"/>
            <w:r>
              <w:rPr>
                <w:color w:val="auto"/>
              </w:rPr>
              <w:t>OSDp</w:t>
            </w:r>
            <w:proofErr w:type="spellEnd"/>
            <w:r>
              <w:rPr>
                <w:color w:val="auto"/>
              </w:rPr>
              <w:t xml:space="preserve"> realizującego </w:t>
            </w:r>
            <w:r>
              <w:rPr>
                <w:color w:val="auto"/>
                <w:szCs w:val="24"/>
              </w:rPr>
              <w:t xml:space="preserve"> </w:t>
            </w:r>
            <w:r>
              <w:rPr>
                <w:color w:val="auto"/>
              </w:rPr>
              <w:t xml:space="preserve">część zakresu operatora pomiarów (zwane dalej </w:t>
            </w:r>
            <w:r w:rsidR="00F6523D">
              <w:rPr>
                <w:color w:val="auto"/>
              </w:rPr>
              <w:t xml:space="preserve">również </w:t>
            </w:r>
            <w:r>
              <w:rPr>
                <w:color w:val="auto"/>
              </w:rPr>
              <w:t>OP-</w:t>
            </w:r>
            <w:proofErr w:type="spellStart"/>
            <w:r>
              <w:rPr>
                <w:color w:val="auto"/>
              </w:rPr>
              <w:t>OSDp</w:t>
            </w:r>
            <w:proofErr w:type="spellEnd"/>
            <w:r>
              <w:rPr>
                <w:color w:val="auto"/>
              </w:rPr>
              <w:t>)</w:t>
            </w:r>
            <w:r w:rsidRPr="00F8567E">
              <w:rPr>
                <w:color w:val="auto"/>
              </w:rPr>
              <w:t xml:space="preserve"> oraz spełniający procedury i warunki zawarte w niniejszej </w:t>
            </w:r>
            <w:proofErr w:type="spellStart"/>
            <w:r w:rsidRPr="00F8567E">
              <w:rPr>
                <w:color w:val="auto"/>
              </w:rPr>
              <w:t>IRiESD</w:t>
            </w:r>
            <w:proofErr w:type="spellEnd"/>
            <w:r w:rsidRPr="00F8567E">
              <w:rPr>
                <w:color w:val="auto"/>
              </w:rPr>
              <w:t>, może pełnić funkcję POB.</w:t>
            </w:r>
            <w:r w:rsidRPr="00F8567E">
              <w:rPr>
                <w:color w:val="auto"/>
                <w:szCs w:val="24"/>
              </w:rPr>
              <w:t xml:space="preserve"> </w:t>
            </w:r>
          </w:p>
          <w:p w:rsidR="00BC0CF2" w:rsidRDefault="00BC0CF2" w:rsidP="00F021B9">
            <w:pPr>
              <w:tabs>
                <w:tab w:val="clear" w:pos="4536"/>
                <w:tab w:val="clear" w:pos="9072"/>
              </w:tabs>
              <w:autoSpaceDE w:val="0"/>
              <w:autoSpaceDN w:val="0"/>
              <w:adjustRightInd w:val="0"/>
              <w:ind w:firstLine="0"/>
              <w:rPr>
                <w:color w:val="auto"/>
                <w:szCs w:val="24"/>
              </w:rPr>
            </w:pPr>
            <w:r>
              <w:rPr>
                <w:color w:val="auto"/>
                <w:szCs w:val="24"/>
              </w:rPr>
              <w:t xml:space="preserve">Umowa dystrybucji zawierana przez POB musi spełniać warunki ustawy – Prawo energetyczne oraz instrukcji ruchu i eksploatacji sieci dystrybucyjnej </w:t>
            </w:r>
            <w:proofErr w:type="spellStart"/>
            <w:r>
              <w:rPr>
                <w:color w:val="auto"/>
                <w:szCs w:val="24"/>
              </w:rPr>
              <w:t>OSDp</w:t>
            </w:r>
            <w:proofErr w:type="spellEnd"/>
            <w:r>
              <w:rPr>
                <w:color w:val="auto"/>
                <w:szCs w:val="24"/>
              </w:rPr>
              <w:t>.</w:t>
            </w:r>
          </w:p>
          <w:p w:rsidR="00BC0CF2" w:rsidRPr="00F8567E" w:rsidRDefault="00BC0CF2" w:rsidP="00F021B9">
            <w:pPr>
              <w:tabs>
                <w:tab w:val="clear" w:pos="4536"/>
                <w:tab w:val="clear" w:pos="9072"/>
              </w:tabs>
              <w:autoSpaceDE w:val="0"/>
              <w:autoSpaceDN w:val="0"/>
              <w:adjustRightInd w:val="0"/>
              <w:ind w:firstLine="0"/>
              <w:rPr>
                <w:color w:val="auto"/>
                <w:szCs w:val="24"/>
              </w:rPr>
            </w:pPr>
            <w:r w:rsidRPr="00F8567E">
              <w:rPr>
                <w:color w:val="auto"/>
                <w:szCs w:val="24"/>
              </w:rPr>
              <w:t xml:space="preserve">Umowa dystrybucji zawierana przez </w:t>
            </w:r>
            <w:r w:rsidR="00E45165">
              <w:rPr>
                <w:color w:val="auto"/>
                <w:szCs w:val="24"/>
              </w:rPr>
              <w:t>OSD</w:t>
            </w:r>
            <w:r>
              <w:rPr>
                <w:color w:val="auto"/>
                <w:szCs w:val="24"/>
              </w:rPr>
              <w:t xml:space="preserve"> </w:t>
            </w:r>
            <w:r w:rsidRPr="00F8567E">
              <w:rPr>
                <w:color w:val="auto"/>
                <w:szCs w:val="24"/>
              </w:rPr>
              <w:t xml:space="preserve">z POB </w:t>
            </w:r>
            <w:r w:rsidRPr="00F8567E">
              <w:t xml:space="preserve">spełnia wymagania określone w ustawie </w:t>
            </w:r>
            <w:r>
              <w:t xml:space="preserve">- </w:t>
            </w:r>
            <w:r w:rsidRPr="00F8567E">
              <w:t xml:space="preserve">Prawo energetyczne oraz </w:t>
            </w:r>
            <w:r w:rsidRPr="00F8567E">
              <w:rPr>
                <w:color w:val="auto"/>
                <w:szCs w:val="24"/>
              </w:rPr>
              <w:t>powinna zawierać w szczególności następujące elementy:</w:t>
            </w:r>
          </w:p>
          <w:p w:rsidR="00BC0CF2"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oświadczenie POB o zawarciu umowy przesyłowej z OSP umożliwiającej prowadzenie działalności na rynku bilansującym,</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Pr>
                <w:color w:val="auto"/>
                <w:szCs w:val="24"/>
              </w:rPr>
              <w:t>oświadczenie POB o zawarciu umowy dystrybucji z OP-</w:t>
            </w:r>
            <w:proofErr w:type="spellStart"/>
            <w:r>
              <w:rPr>
                <w:color w:val="auto"/>
                <w:szCs w:val="24"/>
              </w:rPr>
              <w:t>OSDp</w:t>
            </w:r>
            <w:proofErr w:type="spellEnd"/>
            <w:r>
              <w:rPr>
                <w:color w:val="auto"/>
                <w:szCs w:val="24"/>
              </w:rPr>
              <w:t xml:space="preserve"> w zakresie pełnienia POB na sieci dystrybucyjnej OP-</w:t>
            </w:r>
            <w:proofErr w:type="spellStart"/>
            <w:r>
              <w:rPr>
                <w:color w:val="auto"/>
                <w:szCs w:val="24"/>
              </w:rPr>
              <w:t>OSDp</w:t>
            </w:r>
            <w:proofErr w:type="spellEnd"/>
            <w:r>
              <w:rPr>
                <w:color w:val="auto"/>
                <w:szCs w:val="24"/>
              </w:rPr>
              <w:t>,</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kod identyfikacyjny podmiotu na rynku bilansującym,</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dane o posiadanych przez podmiot koncesjach, związanych z działalnością w elektroenergetyce - jeżeli jest taki wymóg prawny,</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lastRenderedPageBreak/>
              <w:t>datę rozpoczęcia działalności na rynku bilansującym,</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 xml:space="preserve">osoby upoważnione do kontaktu z </w:t>
            </w:r>
            <w:r w:rsidR="00E45165">
              <w:rPr>
                <w:color w:val="auto"/>
                <w:szCs w:val="24"/>
              </w:rPr>
              <w:t>OSD</w:t>
            </w:r>
            <w:r>
              <w:rPr>
                <w:color w:val="auto"/>
                <w:szCs w:val="24"/>
              </w:rPr>
              <w:t xml:space="preserve"> </w:t>
            </w:r>
            <w:r w:rsidRPr="00F8567E">
              <w:rPr>
                <w:color w:val="auto"/>
                <w:szCs w:val="24"/>
              </w:rPr>
              <w:t>oraz ich dane adresowe,</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rPr>
              <w:t xml:space="preserve">warunki przejmowania odpowiedzialności za bilansowanie handlowe na rynku bilansującym, podmiotów działających na obszarze </w:t>
            </w:r>
            <w:proofErr w:type="spellStart"/>
            <w:r>
              <w:rPr>
                <w:color w:val="auto"/>
                <w:szCs w:val="24"/>
              </w:rPr>
              <w:t>OSDp</w:t>
            </w:r>
            <w:proofErr w:type="spellEnd"/>
            <w:r w:rsidRPr="00F8567E">
              <w:rPr>
                <w:color w:val="auto"/>
              </w:rPr>
              <w:t>,</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wykaz sprzedawców i wytwórców dla których POB świadczy usługi bilansowania handlowego,</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Pr>
                <w:color w:val="auto"/>
                <w:szCs w:val="24"/>
              </w:rPr>
              <w:t>zasady współpracy z OP-</w:t>
            </w:r>
            <w:proofErr w:type="spellStart"/>
            <w:r>
              <w:rPr>
                <w:color w:val="auto"/>
                <w:szCs w:val="24"/>
              </w:rPr>
              <w:t>OSDp</w:t>
            </w:r>
            <w:proofErr w:type="spellEnd"/>
            <w:r>
              <w:rPr>
                <w:color w:val="auto"/>
                <w:szCs w:val="24"/>
              </w:rPr>
              <w:t xml:space="preserve"> w zakresie przekazywania danych pomiarowych od </w:t>
            </w:r>
            <w:r w:rsidR="00E45165">
              <w:rPr>
                <w:color w:val="auto"/>
                <w:szCs w:val="24"/>
              </w:rPr>
              <w:t>OSD</w:t>
            </w:r>
            <w:r>
              <w:rPr>
                <w:color w:val="auto"/>
                <w:szCs w:val="24"/>
              </w:rPr>
              <w:t xml:space="preserve"> do OP-</w:t>
            </w:r>
            <w:proofErr w:type="spellStart"/>
            <w:r>
              <w:rPr>
                <w:color w:val="auto"/>
                <w:szCs w:val="24"/>
              </w:rPr>
              <w:t>OSDp</w:t>
            </w:r>
            <w:proofErr w:type="spellEnd"/>
            <w:r w:rsidRPr="00F8567E">
              <w:rPr>
                <w:color w:val="auto"/>
                <w:szCs w:val="24"/>
              </w:rPr>
              <w:t>,</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 xml:space="preserve">zobowiązanie POB do niezwłocznego informowania o zaprzestaniu lub zawieszeniu działalności na RB w rozumieniu </w:t>
            </w:r>
            <w:proofErr w:type="spellStart"/>
            <w:r w:rsidRPr="00F8567E">
              <w:rPr>
                <w:color w:val="auto"/>
                <w:szCs w:val="24"/>
              </w:rPr>
              <w:t>IRiESP</w:t>
            </w:r>
            <w:proofErr w:type="spellEnd"/>
            <w:r w:rsidRPr="00F8567E">
              <w:rPr>
                <w:color w:val="auto"/>
                <w:szCs w:val="24"/>
              </w:rPr>
              <w:t>,</w:t>
            </w:r>
          </w:p>
          <w:p w:rsidR="00BC0CF2" w:rsidRDefault="00BC0CF2" w:rsidP="009F630A">
            <w:pPr>
              <w:numPr>
                <w:ilvl w:val="0"/>
                <w:numId w:val="14"/>
              </w:numPr>
              <w:tabs>
                <w:tab w:val="clear" w:pos="4536"/>
                <w:tab w:val="clear" w:pos="9072"/>
              </w:tabs>
              <w:autoSpaceDE w:val="0"/>
              <w:autoSpaceDN w:val="0"/>
              <w:adjustRightInd w:val="0"/>
              <w:rPr>
                <w:color w:val="auto"/>
                <w:szCs w:val="24"/>
              </w:rPr>
            </w:pPr>
            <w:r w:rsidRPr="00F8567E">
              <w:rPr>
                <w:color w:val="auto"/>
                <w:szCs w:val="24"/>
              </w:rPr>
              <w:t xml:space="preserve">zasady rozwiązania umowy lub wprowadzania ograniczeń w jej wykonywaniu w przypadku gdy, niezależnie od przyczyny, POB zaprzestanie lub zawiesi działalność na RB w rozumieniu </w:t>
            </w:r>
            <w:proofErr w:type="spellStart"/>
            <w:r w:rsidRPr="00F8567E">
              <w:rPr>
                <w:color w:val="auto"/>
                <w:szCs w:val="24"/>
              </w:rPr>
              <w:t>IRiESP</w:t>
            </w:r>
            <w:proofErr w:type="spellEnd"/>
            <w:r>
              <w:rPr>
                <w:color w:val="auto"/>
                <w:szCs w:val="24"/>
              </w:rPr>
              <w:t>,</w:t>
            </w:r>
          </w:p>
          <w:p w:rsidR="00BC0CF2" w:rsidRPr="00F8567E" w:rsidRDefault="00BC0CF2" w:rsidP="009F630A">
            <w:pPr>
              <w:numPr>
                <w:ilvl w:val="0"/>
                <w:numId w:val="14"/>
              </w:numPr>
              <w:tabs>
                <w:tab w:val="clear" w:pos="4536"/>
                <w:tab w:val="clear" w:pos="9072"/>
              </w:tabs>
              <w:autoSpaceDE w:val="0"/>
              <w:autoSpaceDN w:val="0"/>
              <w:adjustRightInd w:val="0"/>
              <w:rPr>
                <w:color w:val="auto"/>
                <w:szCs w:val="24"/>
              </w:rPr>
            </w:pPr>
            <w:r>
              <w:rPr>
                <w:color w:val="auto"/>
                <w:szCs w:val="24"/>
              </w:rPr>
              <w:t>zasady udostępniania danych pomiarowych</w:t>
            </w:r>
            <w:r w:rsidRPr="00F8567E">
              <w:rPr>
                <w:color w:val="auto"/>
                <w:szCs w:val="24"/>
              </w:rPr>
              <w:t>.</w:t>
            </w:r>
          </w:p>
        </w:tc>
      </w:tr>
      <w:tr w:rsidR="00C77CBA" w:rsidRPr="00F8567E" w:rsidTr="00F021B9">
        <w:tc>
          <w:tcPr>
            <w:tcW w:w="1063" w:type="dxa"/>
          </w:tcPr>
          <w:p w:rsidR="00C77CBA" w:rsidRPr="00F8567E" w:rsidRDefault="00C77CBA" w:rsidP="00F021B9">
            <w:pPr>
              <w:tabs>
                <w:tab w:val="clear" w:pos="4536"/>
                <w:tab w:val="clear" w:pos="9072"/>
              </w:tabs>
              <w:ind w:firstLine="0"/>
              <w:rPr>
                <w:color w:val="auto"/>
                <w:szCs w:val="24"/>
              </w:rPr>
            </w:pPr>
            <w:r>
              <w:rPr>
                <w:color w:val="auto"/>
                <w:szCs w:val="24"/>
              </w:rPr>
              <w:lastRenderedPageBreak/>
              <w:t>A.4.3.4.</w:t>
            </w:r>
          </w:p>
        </w:tc>
        <w:tc>
          <w:tcPr>
            <w:tcW w:w="8147" w:type="dxa"/>
          </w:tcPr>
          <w:p w:rsidR="00C77CBA" w:rsidRPr="00F8567E" w:rsidRDefault="00C77CBA" w:rsidP="00790FF3">
            <w:pPr>
              <w:tabs>
                <w:tab w:val="clear" w:pos="4536"/>
                <w:tab w:val="clear" w:pos="9072"/>
              </w:tabs>
              <w:autoSpaceDE w:val="0"/>
              <w:autoSpaceDN w:val="0"/>
              <w:adjustRightInd w:val="0"/>
              <w:ind w:firstLine="0"/>
              <w:rPr>
                <w:color w:val="auto"/>
              </w:rPr>
            </w:pPr>
            <w:r>
              <w:rPr>
                <w:color w:val="auto"/>
                <w:szCs w:val="24"/>
              </w:rPr>
              <w:t xml:space="preserve">Umowa, o której mowa w pkt. A.4.3.3. </w:t>
            </w:r>
            <w:r w:rsidR="00790FF3">
              <w:rPr>
                <w:color w:val="auto"/>
                <w:szCs w:val="24"/>
              </w:rPr>
              <w:t xml:space="preserve">nie </w:t>
            </w:r>
            <w:r>
              <w:rPr>
                <w:color w:val="auto"/>
                <w:szCs w:val="24"/>
              </w:rPr>
              <w:t>jest r</w:t>
            </w:r>
            <w:r w:rsidR="00790FF3">
              <w:rPr>
                <w:color w:val="auto"/>
                <w:szCs w:val="24"/>
              </w:rPr>
              <w:t>ealizowana</w:t>
            </w:r>
            <w:r>
              <w:rPr>
                <w:color w:val="auto"/>
                <w:szCs w:val="24"/>
              </w:rPr>
              <w:t xml:space="preserve"> ze skutkiem natychmiastowym w przypadku zawieszenia przez OSP działalności POB na rynku bilansującym, niezależnie od przyczyny.</w:t>
            </w:r>
          </w:p>
        </w:tc>
      </w:tr>
      <w:tr w:rsidR="00BC0CF2" w:rsidRPr="00F8567E" w:rsidTr="00F021B9">
        <w:tc>
          <w:tcPr>
            <w:tcW w:w="1063" w:type="dxa"/>
          </w:tcPr>
          <w:p w:rsidR="00BC0CF2" w:rsidRPr="00F8567E" w:rsidRDefault="00BC0CF2" w:rsidP="00C77CBA">
            <w:pPr>
              <w:tabs>
                <w:tab w:val="left" w:pos="0"/>
              </w:tabs>
              <w:ind w:right="-57" w:firstLine="0"/>
              <w:jc w:val="left"/>
              <w:rPr>
                <w:color w:val="auto"/>
              </w:rPr>
            </w:pPr>
            <w:r w:rsidRPr="00F8567E">
              <w:rPr>
                <w:color w:val="auto"/>
              </w:rPr>
              <w:t>A.4.3.</w:t>
            </w:r>
            <w:r w:rsidR="00C77CBA">
              <w:rPr>
                <w:color w:val="auto"/>
              </w:rPr>
              <w:t>5</w:t>
            </w:r>
            <w:r w:rsidRPr="00F8567E">
              <w:rPr>
                <w:color w:val="auto"/>
              </w:rPr>
              <w:t>.</w:t>
            </w:r>
          </w:p>
        </w:tc>
        <w:tc>
          <w:tcPr>
            <w:tcW w:w="8147" w:type="dxa"/>
          </w:tcPr>
          <w:p w:rsidR="00C77CBA" w:rsidRDefault="00C77CBA" w:rsidP="00C77CBA">
            <w:pPr>
              <w:pStyle w:val="styl0"/>
              <w:spacing w:before="120"/>
            </w:pPr>
            <w:r>
              <w:t xml:space="preserve">Podmiot zamierzający sprzedawać energię elektryczną lub usługę kompleksową URD na obszarze działania </w:t>
            </w:r>
            <w:r w:rsidR="00E45165">
              <w:rPr>
                <w:szCs w:val="24"/>
              </w:rPr>
              <w:t>OSD</w:t>
            </w:r>
            <w:r>
              <w:t xml:space="preserve">, posiadający zawartą z </w:t>
            </w:r>
            <w:r w:rsidR="00E45165">
              <w:rPr>
                <w:szCs w:val="24"/>
              </w:rPr>
              <w:t>OSD</w:t>
            </w:r>
            <w:r>
              <w:rPr>
                <w:szCs w:val="24"/>
              </w:rPr>
              <w:t xml:space="preserve"> </w:t>
            </w:r>
            <w:r>
              <w:t xml:space="preserve">generalną umowę dystrybucji, może pełnić funkcję Sprzedawcy. Generalna umowa dystrybucji reguluje kompleksowo stosunki pomiędzy Sprzedawcą, a </w:t>
            </w:r>
            <w:r w:rsidR="00E45165">
              <w:rPr>
                <w:szCs w:val="24"/>
              </w:rPr>
              <w:t>OSD</w:t>
            </w:r>
            <w:r>
              <w:rPr>
                <w:szCs w:val="24"/>
              </w:rPr>
              <w:t xml:space="preserve"> </w:t>
            </w:r>
            <w:r>
              <w:t xml:space="preserve">oraz dotyczy wszystkich URD z obszaru działania </w:t>
            </w:r>
            <w:r w:rsidR="00E45165">
              <w:rPr>
                <w:szCs w:val="24"/>
              </w:rPr>
              <w:t>OSD</w:t>
            </w:r>
            <w:r>
              <w:t xml:space="preserve">, którym ten Sprzedawca będzie sprzedawać energię elektryczną. Umowa ta spełnia wymagania określone w ustawie Prawo energetyczne oraz </w:t>
            </w:r>
            <w:r>
              <w:rPr>
                <w:szCs w:val="24"/>
              </w:rPr>
              <w:t>powinna zawierać co najmniej następujące elementy</w:t>
            </w:r>
            <w:r>
              <w:t>:</w:t>
            </w:r>
          </w:p>
          <w:p w:rsidR="00C77CBA" w:rsidRDefault="00C77CBA" w:rsidP="00C77CBA">
            <w:pPr>
              <w:numPr>
                <w:ilvl w:val="0"/>
                <w:numId w:val="2"/>
              </w:numPr>
              <w:tabs>
                <w:tab w:val="clear" w:pos="4536"/>
                <w:tab w:val="clear" w:pos="9072"/>
              </w:tabs>
              <w:ind w:left="357" w:hanging="357"/>
              <w:rPr>
                <w:color w:val="auto"/>
              </w:rPr>
            </w:pPr>
            <w:r>
              <w:rPr>
                <w:color w:val="auto"/>
              </w:rPr>
              <w:t>terminy i procedury powiadamiania o zawartych umowach sprzedaży,</w:t>
            </w:r>
          </w:p>
          <w:p w:rsidR="00C77CBA" w:rsidRDefault="00C77CBA" w:rsidP="00C77CBA">
            <w:pPr>
              <w:numPr>
                <w:ilvl w:val="0"/>
                <w:numId w:val="2"/>
              </w:numPr>
              <w:tabs>
                <w:tab w:val="clear" w:pos="4536"/>
                <w:tab w:val="clear" w:pos="9072"/>
              </w:tabs>
              <w:ind w:left="357" w:hanging="357"/>
              <w:rPr>
                <w:color w:val="auto"/>
              </w:rPr>
            </w:pPr>
            <w:r w:rsidRPr="00221CB6">
              <w:rPr>
                <w:color w:val="auto"/>
              </w:rPr>
              <w:t xml:space="preserve">warunki sprzedaży energii elektrycznej dla wszystkich odbiorców z obszaru działania </w:t>
            </w:r>
            <w:r w:rsidR="00E45165">
              <w:rPr>
                <w:color w:val="auto"/>
                <w:szCs w:val="24"/>
              </w:rPr>
              <w:t>OSD</w:t>
            </w:r>
            <w:r w:rsidRPr="00221CB6">
              <w:rPr>
                <w:color w:val="auto"/>
              </w:rPr>
              <w:t>, którym ten sprzedawca będzie sprzedawać energię elektryczną</w:t>
            </w:r>
            <w:r w:rsidRPr="00F8567E">
              <w:rPr>
                <w:color w:val="auto"/>
              </w:rPr>
              <w:t>,</w:t>
            </w:r>
          </w:p>
          <w:p w:rsidR="00C77CBA" w:rsidRDefault="00C77CBA" w:rsidP="00C77CBA">
            <w:pPr>
              <w:numPr>
                <w:ilvl w:val="0"/>
                <w:numId w:val="2"/>
              </w:numPr>
              <w:tabs>
                <w:tab w:val="clear" w:pos="4536"/>
                <w:tab w:val="clear" w:pos="9072"/>
              </w:tabs>
              <w:ind w:left="357" w:hanging="357"/>
              <w:rPr>
                <w:color w:val="auto"/>
              </w:rPr>
            </w:pPr>
            <w:r>
              <w:rPr>
                <w:color w:val="auto"/>
              </w:rPr>
              <w:t xml:space="preserve">zasady obejmowania nią kolejnych URD i zobowiązania stron w tym zakresie, </w:t>
            </w:r>
          </w:p>
          <w:p w:rsidR="00C77CBA" w:rsidRDefault="00C77CBA" w:rsidP="00C77CBA">
            <w:pPr>
              <w:numPr>
                <w:ilvl w:val="0"/>
                <w:numId w:val="2"/>
              </w:numPr>
              <w:tabs>
                <w:tab w:val="clear" w:pos="4536"/>
                <w:tab w:val="clear" w:pos="9072"/>
              </w:tabs>
              <w:ind w:left="357" w:hanging="357"/>
              <w:rPr>
                <w:color w:val="auto"/>
              </w:rPr>
            </w:pPr>
            <w:r>
              <w:rPr>
                <w:color w:val="auto"/>
              </w:rPr>
              <w:t xml:space="preserve">wskazanie wybranego przez sprzedawcę POB, który ma zawartą umowę dystrybucji z </w:t>
            </w:r>
            <w:r w:rsidR="00E45165">
              <w:rPr>
                <w:color w:val="auto"/>
                <w:szCs w:val="24"/>
              </w:rPr>
              <w:t>OSD</w:t>
            </w:r>
            <w:r>
              <w:rPr>
                <w:color w:val="auto"/>
              </w:rPr>
              <w:t>,</w:t>
            </w:r>
          </w:p>
          <w:p w:rsidR="00C77CBA" w:rsidRDefault="00C77CBA" w:rsidP="00C77CBA">
            <w:pPr>
              <w:numPr>
                <w:ilvl w:val="0"/>
                <w:numId w:val="2"/>
              </w:numPr>
              <w:tabs>
                <w:tab w:val="clear" w:pos="4536"/>
                <w:tab w:val="clear" w:pos="9072"/>
              </w:tabs>
              <w:ind w:left="357" w:hanging="357"/>
              <w:rPr>
                <w:color w:val="auto"/>
              </w:rPr>
            </w:pPr>
            <w:r>
              <w:rPr>
                <w:color w:val="auto"/>
              </w:rPr>
              <w:t xml:space="preserve">wykaz URD przyłączonych do sieci dystrybucyjnej </w:t>
            </w:r>
            <w:r w:rsidR="00E45165">
              <w:rPr>
                <w:color w:val="auto"/>
                <w:szCs w:val="24"/>
              </w:rPr>
              <w:t>OSD</w:t>
            </w:r>
            <w:r>
              <w:rPr>
                <w:color w:val="auto"/>
              </w:rPr>
              <w:t>, którzy zawarli umowę sprzedaży lub umowę kompleksową z tym Sprzedawcą,</w:t>
            </w:r>
          </w:p>
          <w:p w:rsidR="00C77CBA" w:rsidRDefault="00C77CBA" w:rsidP="00C77CBA">
            <w:pPr>
              <w:numPr>
                <w:ilvl w:val="0"/>
                <w:numId w:val="2"/>
              </w:numPr>
              <w:tabs>
                <w:tab w:val="clear" w:pos="4536"/>
                <w:tab w:val="clear" w:pos="9072"/>
              </w:tabs>
              <w:ind w:left="357" w:hanging="357"/>
              <w:rPr>
                <w:color w:val="auto"/>
              </w:rPr>
            </w:pPr>
            <w:r>
              <w:rPr>
                <w:color w:val="auto"/>
              </w:rPr>
              <w:t xml:space="preserve">zasady i terminy przekazywania informacji dotyczących wygaśnięcia lub rozwiązywania umów, w tym umów sprzedaży lub umów kompleksowych zawartych przez Sprzedawcę z URD, oraz umów dystrybucji zawartych </w:t>
            </w:r>
            <w:r w:rsidR="00E45165">
              <w:rPr>
                <w:color w:val="auto"/>
              </w:rPr>
              <w:t>OSD</w:t>
            </w:r>
            <w:r>
              <w:rPr>
                <w:color w:val="auto"/>
              </w:rPr>
              <w:t xml:space="preserve"> z URD,</w:t>
            </w:r>
          </w:p>
          <w:p w:rsidR="00C77CBA" w:rsidRDefault="00C77CBA" w:rsidP="00C77CBA">
            <w:pPr>
              <w:numPr>
                <w:ilvl w:val="0"/>
                <w:numId w:val="2"/>
              </w:numPr>
              <w:tabs>
                <w:tab w:val="clear" w:pos="4536"/>
                <w:tab w:val="clear" w:pos="9072"/>
              </w:tabs>
              <w:ind w:left="357" w:hanging="357"/>
              <w:rPr>
                <w:color w:val="auto"/>
              </w:rPr>
            </w:pPr>
            <w:r>
              <w:rPr>
                <w:color w:val="auto"/>
              </w:rPr>
              <w:t xml:space="preserve">zasady wchodzenia w życie i rozwiązywania pozytywnie zweryfikowanych umów sprzedaży lub kompleksowych zawieranych przez odbiorców z  </w:t>
            </w:r>
            <w:r>
              <w:rPr>
                <w:color w:val="auto"/>
              </w:rPr>
              <w:lastRenderedPageBreak/>
              <w:t>Sprzedawcą,</w:t>
            </w:r>
          </w:p>
          <w:p w:rsidR="00C77CBA" w:rsidRDefault="00C77CBA" w:rsidP="00C77CBA">
            <w:pPr>
              <w:numPr>
                <w:ilvl w:val="0"/>
                <w:numId w:val="2"/>
              </w:numPr>
              <w:tabs>
                <w:tab w:val="clear" w:pos="4536"/>
                <w:tab w:val="clear" w:pos="9072"/>
              </w:tabs>
              <w:ind w:left="357" w:hanging="357"/>
              <w:rPr>
                <w:color w:val="auto"/>
              </w:rPr>
            </w:pPr>
            <w:r>
              <w:rPr>
                <w:color w:val="auto"/>
                <w:szCs w:val="24"/>
              </w:rPr>
              <w:t xml:space="preserve">osoby upoważnione do kontaktu z </w:t>
            </w:r>
            <w:r w:rsidR="00E45165">
              <w:rPr>
                <w:color w:val="auto"/>
                <w:szCs w:val="24"/>
              </w:rPr>
              <w:t>OSD</w:t>
            </w:r>
            <w:r>
              <w:rPr>
                <w:color w:val="auto"/>
                <w:szCs w:val="24"/>
              </w:rPr>
              <w:t xml:space="preserve"> oraz ich dane adresowe,</w:t>
            </w:r>
          </w:p>
          <w:p w:rsidR="00C77CBA" w:rsidRDefault="00C77CBA" w:rsidP="00C77CBA">
            <w:pPr>
              <w:numPr>
                <w:ilvl w:val="0"/>
                <w:numId w:val="2"/>
              </w:numPr>
              <w:tabs>
                <w:tab w:val="clear" w:pos="4536"/>
                <w:tab w:val="clear" w:pos="9072"/>
              </w:tabs>
              <w:ind w:left="357" w:hanging="357"/>
              <w:rPr>
                <w:color w:val="auto"/>
              </w:rPr>
            </w:pPr>
            <w:r>
              <w:rPr>
                <w:color w:val="auto"/>
              </w:rPr>
              <w:t xml:space="preserve">zasady wstrzymywania i wznawiania przez </w:t>
            </w:r>
            <w:r w:rsidR="00E45165">
              <w:rPr>
                <w:color w:val="auto"/>
                <w:szCs w:val="24"/>
              </w:rPr>
              <w:t>OSD</w:t>
            </w:r>
            <w:r>
              <w:rPr>
                <w:color w:val="auto"/>
                <w:szCs w:val="24"/>
              </w:rPr>
              <w:t xml:space="preserve"> </w:t>
            </w:r>
            <w:r>
              <w:rPr>
                <w:color w:val="auto"/>
              </w:rPr>
              <w:t>dostarczania energii do URD,</w:t>
            </w:r>
          </w:p>
          <w:p w:rsidR="00C77CBA" w:rsidRDefault="00C77CBA" w:rsidP="00C77CBA">
            <w:pPr>
              <w:numPr>
                <w:ilvl w:val="0"/>
                <w:numId w:val="2"/>
              </w:numPr>
              <w:tabs>
                <w:tab w:val="clear" w:pos="4536"/>
                <w:tab w:val="clear" w:pos="9072"/>
              </w:tabs>
              <w:ind w:left="357" w:hanging="357"/>
              <w:rPr>
                <w:color w:val="auto"/>
              </w:rPr>
            </w:pPr>
            <w:r>
              <w:rPr>
                <w:color w:val="auto"/>
              </w:rPr>
              <w:t>zakres i zasady udostępniania danych dotyczących URD, w tym danych pomiarowych dotyczących zużycia energii elektrycznej, które są konieczne dla ich właściwej obsługi,</w:t>
            </w:r>
          </w:p>
          <w:p w:rsidR="00C77CBA" w:rsidRDefault="00C77CBA" w:rsidP="00C77CBA">
            <w:pPr>
              <w:numPr>
                <w:ilvl w:val="0"/>
                <w:numId w:val="2"/>
              </w:numPr>
              <w:tabs>
                <w:tab w:val="clear" w:pos="4536"/>
                <w:tab w:val="clear" w:pos="9072"/>
              </w:tabs>
              <w:ind w:left="357" w:hanging="357"/>
              <w:rPr>
                <w:color w:val="auto"/>
              </w:rPr>
            </w:pPr>
            <w:r>
              <w:rPr>
                <w:color w:val="auto"/>
              </w:rPr>
              <w:t xml:space="preserve">algorytmy wyznaczania rzeczywistych ilości energii w Punktach Dostarczania Energii (PDE) i w Miejscach Dostarczania Energii Rynku Detalicznego </w:t>
            </w:r>
            <w:r>
              <w:rPr>
                <w:color w:val="auto"/>
                <w:szCs w:val="24"/>
              </w:rPr>
              <w:t>(MD</w:t>
            </w:r>
            <w:r>
              <w:rPr>
                <w:color w:val="auto"/>
                <w:szCs w:val="24"/>
                <w:vertAlign w:val="subscript"/>
              </w:rPr>
              <w:t>D</w:t>
            </w:r>
            <w:r>
              <w:rPr>
                <w:color w:val="auto"/>
                <w:szCs w:val="24"/>
              </w:rPr>
              <w:t>),</w:t>
            </w:r>
          </w:p>
          <w:p w:rsidR="00C77CBA" w:rsidRDefault="00C77CBA" w:rsidP="00C77CBA">
            <w:pPr>
              <w:numPr>
                <w:ilvl w:val="0"/>
                <w:numId w:val="2"/>
              </w:numPr>
              <w:tabs>
                <w:tab w:val="clear" w:pos="4536"/>
                <w:tab w:val="clear" w:pos="9072"/>
              </w:tabs>
              <w:ind w:left="357" w:hanging="357"/>
              <w:rPr>
                <w:color w:val="auto"/>
              </w:rPr>
            </w:pPr>
            <w:r>
              <w:rPr>
                <w:color w:val="auto"/>
              </w:rPr>
              <w:t xml:space="preserve">zasady rozliczeń i warunki dokonywania przez  </w:t>
            </w:r>
            <w:r w:rsidR="00E45165">
              <w:rPr>
                <w:color w:val="auto"/>
                <w:szCs w:val="24"/>
              </w:rPr>
              <w:t>OSD</w:t>
            </w:r>
            <w:r>
              <w:rPr>
                <w:color w:val="auto"/>
                <w:szCs w:val="24"/>
              </w:rPr>
              <w:t xml:space="preserve"> </w:t>
            </w:r>
            <w:r>
              <w:rPr>
                <w:color w:val="auto"/>
              </w:rPr>
              <w:t xml:space="preserve">dodatkowych odczytów układów pomiarowo-rozliczeniowych tzn. w terminach innych niż standardowo dokonuje ich </w:t>
            </w:r>
            <w:r w:rsidR="00E45165">
              <w:rPr>
                <w:color w:val="auto"/>
                <w:szCs w:val="24"/>
              </w:rPr>
              <w:t>OSD</w:t>
            </w:r>
            <w:r>
              <w:rPr>
                <w:color w:val="auto"/>
              </w:rPr>
              <w:t>,</w:t>
            </w:r>
          </w:p>
          <w:p w:rsidR="00C77CBA" w:rsidRDefault="00C77CBA" w:rsidP="00C77CBA">
            <w:pPr>
              <w:numPr>
                <w:ilvl w:val="0"/>
                <w:numId w:val="2"/>
              </w:numPr>
              <w:tabs>
                <w:tab w:val="clear" w:pos="4536"/>
                <w:tab w:val="clear" w:pos="9072"/>
              </w:tabs>
              <w:ind w:left="357" w:hanging="357"/>
              <w:rPr>
                <w:color w:val="auto"/>
              </w:rPr>
            </w:pPr>
            <w:r>
              <w:rPr>
                <w:color w:val="auto"/>
              </w:rPr>
              <w:t xml:space="preserve">zobowiązanie stron umowy do stosowania postanowień niniejszej </w:t>
            </w:r>
            <w:proofErr w:type="spellStart"/>
            <w:r>
              <w:rPr>
                <w:color w:val="auto"/>
              </w:rPr>
              <w:t>IRiESD</w:t>
            </w:r>
            <w:proofErr w:type="spellEnd"/>
            <w:r>
              <w:rPr>
                <w:color w:val="auto"/>
              </w:rPr>
              <w:t>,</w:t>
            </w:r>
          </w:p>
          <w:p w:rsidR="00C77CBA" w:rsidRDefault="00C77CBA" w:rsidP="00C77CBA">
            <w:pPr>
              <w:numPr>
                <w:ilvl w:val="0"/>
                <w:numId w:val="2"/>
              </w:numPr>
              <w:tabs>
                <w:tab w:val="clear" w:pos="4536"/>
                <w:tab w:val="clear" w:pos="9072"/>
              </w:tabs>
              <w:ind w:left="357" w:hanging="357"/>
              <w:rPr>
                <w:color w:val="auto"/>
              </w:rPr>
            </w:pPr>
            <w:r>
              <w:rPr>
                <w:color w:val="auto"/>
              </w:rPr>
              <w:t xml:space="preserve">zobowiązanie sprzedawcy do niezwłocznego informowania </w:t>
            </w:r>
            <w:r w:rsidR="00E45165">
              <w:rPr>
                <w:color w:val="auto"/>
                <w:szCs w:val="24"/>
              </w:rPr>
              <w:t>OSD</w:t>
            </w:r>
            <w:r>
              <w:rPr>
                <w:color w:val="auto"/>
                <w:szCs w:val="24"/>
              </w:rPr>
              <w:t xml:space="preserve"> </w:t>
            </w:r>
            <w:r>
              <w:rPr>
                <w:color w:val="auto"/>
              </w:rPr>
              <w:t xml:space="preserve">o utracie wskazanego POB w wyniku zaprzestania lub zawieszenia jego działalności na RB, w rozumieniu </w:t>
            </w:r>
            <w:proofErr w:type="spellStart"/>
            <w:r>
              <w:rPr>
                <w:color w:val="auto"/>
              </w:rPr>
              <w:t>IRiESP</w:t>
            </w:r>
            <w:proofErr w:type="spellEnd"/>
            <w:r>
              <w:rPr>
                <w:color w:val="auto"/>
              </w:rPr>
              <w:t>-Bilansowanie,</w:t>
            </w:r>
          </w:p>
          <w:p w:rsidR="00DC44ED" w:rsidRPr="007934B6" w:rsidRDefault="00C77CBA" w:rsidP="00C77CBA">
            <w:pPr>
              <w:numPr>
                <w:ilvl w:val="0"/>
                <w:numId w:val="2"/>
              </w:numPr>
              <w:tabs>
                <w:tab w:val="clear" w:pos="4536"/>
                <w:tab w:val="clear" w:pos="9072"/>
              </w:tabs>
              <w:ind w:left="357" w:hanging="357"/>
              <w:rPr>
                <w:color w:val="auto"/>
              </w:rPr>
            </w:pPr>
            <w:r>
              <w:rPr>
                <w:color w:val="auto"/>
                <w:szCs w:val="24"/>
              </w:rPr>
              <w:t>zasady rozwiązania umowy, w tym, w przypadku zaprzestania działalności przez POB tego Sprzedawcy</w:t>
            </w:r>
            <w:r>
              <w:rPr>
                <w:color w:val="auto"/>
              </w:rPr>
              <w:t>.</w:t>
            </w:r>
          </w:p>
        </w:tc>
      </w:tr>
      <w:tr w:rsidR="00C77CBA" w:rsidRPr="00F8567E" w:rsidTr="00F021B9">
        <w:tc>
          <w:tcPr>
            <w:tcW w:w="1063" w:type="dxa"/>
          </w:tcPr>
          <w:p w:rsidR="00C77CBA" w:rsidRPr="00F8567E" w:rsidRDefault="00C77CBA" w:rsidP="00F021B9">
            <w:pPr>
              <w:tabs>
                <w:tab w:val="left" w:pos="0"/>
              </w:tabs>
              <w:ind w:right="-57" w:firstLine="0"/>
              <w:jc w:val="left"/>
              <w:rPr>
                <w:color w:val="auto"/>
              </w:rPr>
            </w:pPr>
          </w:p>
        </w:tc>
        <w:tc>
          <w:tcPr>
            <w:tcW w:w="8147" w:type="dxa"/>
          </w:tcPr>
          <w:p w:rsidR="00C77CBA" w:rsidRPr="00F8567E" w:rsidRDefault="00C77CBA" w:rsidP="00F021B9">
            <w:pPr>
              <w:pStyle w:val="styl0"/>
              <w:spacing w:before="120"/>
            </w:pPr>
          </w:p>
        </w:tc>
      </w:tr>
      <w:tr w:rsidR="00C452C4" w:rsidRPr="00F8567E" w:rsidTr="00F021B9">
        <w:tc>
          <w:tcPr>
            <w:tcW w:w="1063" w:type="dxa"/>
          </w:tcPr>
          <w:p w:rsidR="00C452C4" w:rsidRPr="00F8567E" w:rsidRDefault="00C452C4" w:rsidP="00C452C4">
            <w:pPr>
              <w:tabs>
                <w:tab w:val="left" w:pos="0"/>
              </w:tabs>
              <w:ind w:right="-57" w:firstLine="0"/>
              <w:jc w:val="left"/>
              <w:rPr>
                <w:color w:val="auto"/>
              </w:rPr>
            </w:pPr>
            <w:r>
              <w:rPr>
                <w:color w:val="auto"/>
              </w:rPr>
              <w:t>A.4.3.6.</w:t>
            </w:r>
          </w:p>
        </w:tc>
        <w:tc>
          <w:tcPr>
            <w:tcW w:w="8147" w:type="dxa"/>
          </w:tcPr>
          <w:p w:rsidR="00C452C4" w:rsidRDefault="00C452C4" w:rsidP="00C452C4">
            <w:pPr>
              <w:pStyle w:val="styl0"/>
              <w:spacing w:before="120"/>
            </w:pPr>
            <w:r>
              <w:t xml:space="preserve">Podmiot zamierzający sprzedawać energię elektryczną URD w gospodarstwach domowych przyłączonych do sieci elektroenergetycznej OSD o napięciu znamionowym do 1 </w:t>
            </w:r>
            <w:proofErr w:type="spellStart"/>
            <w:r>
              <w:t>kV</w:t>
            </w:r>
            <w:proofErr w:type="spellEnd"/>
            <w:r>
              <w:t xml:space="preserve"> na obszarze działania OSD na podstawie umów kompleksowych, posiadający GUD-k zawartą z OSD, może pełnić funkcję sprzedawcy usługi kompleksowej. GUD-k określa warunki realizacji umów kompleksowych dla wszystkich URD w gospodarstwach domowych  przyłączonych do sieci elektroenergetycznej OSD o napięciu znamionowym do 1 </w:t>
            </w:r>
            <w:proofErr w:type="spellStart"/>
            <w:r>
              <w:t>kV</w:t>
            </w:r>
            <w:proofErr w:type="spellEnd"/>
            <w:r>
              <w:t>, którym ten Sprzedawca będzie świadczyć usługę kompleksową. GUD-k powinna spełniać wymagania określone w ustawie Prawo energetyczne oraz zawierać co najmniej następujące elementy:</w:t>
            </w:r>
          </w:p>
          <w:p w:rsidR="00C452C4" w:rsidRDefault="00C452C4" w:rsidP="006824F9">
            <w:pPr>
              <w:pStyle w:val="styl0"/>
              <w:numPr>
                <w:ilvl w:val="0"/>
                <w:numId w:val="36"/>
              </w:numPr>
              <w:spacing w:before="120"/>
              <w:ind w:left="355"/>
            </w:pPr>
            <w:r>
              <w:t>terminy i procedury powiadamiania o zawartych umowach kompleksowych,</w:t>
            </w:r>
          </w:p>
          <w:p w:rsidR="00C452C4" w:rsidRDefault="00C452C4" w:rsidP="006824F9">
            <w:pPr>
              <w:pStyle w:val="styl0"/>
              <w:numPr>
                <w:ilvl w:val="0"/>
                <w:numId w:val="36"/>
              </w:numPr>
              <w:spacing w:before="120"/>
              <w:ind w:left="355"/>
            </w:pPr>
            <w:r>
              <w:t xml:space="preserve">zasady obejmowania nią kolejnych URD w gospodarstwach domowych przyłączonych do sieci elektroenergetycznej OSD o napięciu znamionowym do 1 </w:t>
            </w:r>
            <w:proofErr w:type="spellStart"/>
            <w:r>
              <w:t>kV</w:t>
            </w:r>
            <w:proofErr w:type="spellEnd"/>
            <w:r>
              <w:t xml:space="preserve"> i zobowiązania stron w tym zakresie,</w:t>
            </w:r>
          </w:p>
          <w:p w:rsidR="00C452C4" w:rsidRDefault="00C452C4" w:rsidP="006824F9">
            <w:pPr>
              <w:pStyle w:val="styl0"/>
              <w:numPr>
                <w:ilvl w:val="0"/>
                <w:numId w:val="36"/>
              </w:numPr>
              <w:spacing w:before="120"/>
              <w:ind w:left="355"/>
            </w:pPr>
            <w:r>
              <w:t>wskazanie wybranego przez Sprzedawcę POB, który ma zawartą umowę dystrybucji z OSD,</w:t>
            </w:r>
          </w:p>
          <w:p w:rsidR="00C452C4" w:rsidRDefault="00C452C4" w:rsidP="006824F9">
            <w:pPr>
              <w:pStyle w:val="styl0"/>
              <w:numPr>
                <w:ilvl w:val="0"/>
                <w:numId w:val="36"/>
              </w:numPr>
              <w:spacing w:before="120"/>
              <w:ind w:left="355"/>
            </w:pPr>
            <w:r>
              <w:t xml:space="preserve">zasady i terminy przekazywania informacji dotyczących wygaśnięcia lub rozwiązywania umów kompleksowych zawartych przez Sprzedawcę z URD w gospodarstwach domowych przyłączonych do sieci elektroenergetycznej OSD o napięciu znamionowym do 1 </w:t>
            </w:r>
            <w:proofErr w:type="spellStart"/>
            <w:r>
              <w:t>kV</w:t>
            </w:r>
            <w:proofErr w:type="spellEnd"/>
            <w:r>
              <w:t xml:space="preserve"> oraz zaprzestania lub ograniczania świadczenia usług dystrybucji przez OSD tym URD,</w:t>
            </w:r>
          </w:p>
          <w:p w:rsidR="00C452C4" w:rsidRDefault="00C452C4" w:rsidP="006824F9">
            <w:pPr>
              <w:pStyle w:val="styl0"/>
              <w:numPr>
                <w:ilvl w:val="0"/>
                <w:numId w:val="36"/>
              </w:numPr>
              <w:spacing w:before="120"/>
              <w:ind w:left="355"/>
            </w:pPr>
            <w:r>
              <w:lastRenderedPageBreak/>
              <w:t xml:space="preserve">zasady realizacji przez OSD umów kompleksowych zawieranych przez URD w gospodarstwach domowych przyłączonych do sieci elektroenergetycznej OSD o napięciu znamionowym do 1 </w:t>
            </w:r>
            <w:proofErr w:type="spellStart"/>
            <w:r>
              <w:t>kV</w:t>
            </w:r>
            <w:proofErr w:type="spellEnd"/>
            <w:r>
              <w:t xml:space="preserve"> ze Sprzedawcą,</w:t>
            </w:r>
          </w:p>
          <w:p w:rsidR="00C452C4" w:rsidRDefault="00C452C4" w:rsidP="006824F9">
            <w:pPr>
              <w:pStyle w:val="styl0"/>
              <w:numPr>
                <w:ilvl w:val="0"/>
                <w:numId w:val="36"/>
              </w:numPr>
              <w:spacing w:before="120"/>
              <w:ind w:left="355"/>
            </w:pPr>
            <w:r>
              <w:t xml:space="preserve">warunki świadczenia przez OSD usług dystrybucji URD w gospodarstwach domowych przyłączonych do sieci elektroenergetycznej OSD o napięciu znamionowym do 1 </w:t>
            </w:r>
            <w:proofErr w:type="spellStart"/>
            <w:r>
              <w:t>kV</w:t>
            </w:r>
            <w:proofErr w:type="spellEnd"/>
            <w:r>
              <w:t xml:space="preserve"> posiadających zawarte umowy kompleksowe ze Sprzedawcą,</w:t>
            </w:r>
          </w:p>
          <w:p w:rsidR="00C452C4" w:rsidRDefault="00C452C4" w:rsidP="006824F9">
            <w:pPr>
              <w:pStyle w:val="styl0"/>
              <w:numPr>
                <w:ilvl w:val="0"/>
                <w:numId w:val="36"/>
              </w:numPr>
              <w:spacing w:before="120"/>
              <w:ind w:left="355"/>
            </w:pPr>
            <w:r>
              <w:t>warunki i zasady prowadzenia rozliczeń pomiędzy OSD a Sprzedawcą,</w:t>
            </w:r>
          </w:p>
          <w:p w:rsidR="00C452C4" w:rsidRDefault="00C452C4" w:rsidP="006824F9">
            <w:pPr>
              <w:pStyle w:val="styl0"/>
              <w:numPr>
                <w:ilvl w:val="0"/>
                <w:numId w:val="36"/>
              </w:numPr>
              <w:spacing w:before="120"/>
              <w:ind w:left="355"/>
            </w:pPr>
            <w:r>
              <w:t xml:space="preserve">zasady zabezpieczeń należytego wykonania GUD-k, </w:t>
            </w:r>
          </w:p>
          <w:p w:rsidR="00C452C4" w:rsidRDefault="00C452C4" w:rsidP="006824F9">
            <w:pPr>
              <w:pStyle w:val="styl0"/>
              <w:numPr>
                <w:ilvl w:val="0"/>
                <w:numId w:val="36"/>
              </w:numPr>
              <w:spacing w:before="120"/>
              <w:ind w:left="355"/>
            </w:pPr>
            <w:r>
              <w:t>zasady wymiany danych i informacji pomiędzy OSD a Sprzedawcą,</w:t>
            </w:r>
          </w:p>
          <w:p w:rsidR="00C452C4" w:rsidRDefault="00C452C4" w:rsidP="006824F9">
            <w:pPr>
              <w:pStyle w:val="styl0"/>
              <w:numPr>
                <w:ilvl w:val="0"/>
                <w:numId w:val="36"/>
              </w:numPr>
              <w:spacing w:before="120"/>
              <w:ind w:left="355"/>
            </w:pPr>
            <w:r>
              <w:t>osoby upoważnione do kontaktu z OSD oraz ich dane adresowe,</w:t>
            </w:r>
          </w:p>
          <w:p w:rsidR="00C452C4" w:rsidRDefault="00C452C4" w:rsidP="006824F9">
            <w:pPr>
              <w:pStyle w:val="styl0"/>
              <w:numPr>
                <w:ilvl w:val="0"/>
                <w:numId w:val="36"/>
              </w:numPr>
              <w:spacing w:before="120"/>
              <w:ind w:left="355"/>
            </w:pPr>
            <w:r>
              <w:t xml:space="preserve">zasady wstrzymywania i wznawiania przez OSD dostarczania energii elektrycznej URD w gospodarstwach domowych przyłączonych do sieci elektroenergetycznej OSD o napięciu znamionowym do 1 </w:t>
            </w:r>
            <w:proofErr w:type="spellStart"/>
            <w:r>
              <w:t>kV</w:t>
            </w:r>
            <w:proofErr w:type="spellEnd"/>
            <w:r>
              <w:t>,</w:t>
            </w:r>
          </w:p>
          <w:p w:rsidR="00C452C4" w:rsidRDefault="00C452C4" w:rsidP="006824F9">
            <w:pPr>
              <w:pStyle w:val="styl0"/>
              <w:numPr>
                <w:ilvl w:val="0"/>
                <w:numId w:val="36"/>
              </w:numPr>
              <w:spacing w:before="120"/>
              <w:ind w:left="355"/>
            </w:pPr>
            <w:r>
              <w:t xml:space="preserve">zakres, zasady i terminy udostępniania danych dotyczących URD w gospodarstwach domowych przyłączonych do sieci elektroenergetycznej OSD o napięciu znamionowym do 1 </w:t>
            </w:r>
            <w:proofErr w:type="spellStart"/>
            <w:r>
              <w:t>kV</w:t>
            </w:r>
            <w:proofErr w:type="spellEnd"/>
            <w:r>
              <w:t>, w tym danych pomiarowo-rozliczeniowych, i miejsc dostarczania tych URD, które są konieczne dla ich właściwej obsługi,</w:t>
            </w:r>
          </w:p>
          <w:p w:rsidR="00C452C4" w:rsidRDefault="00C452C4" w:rsidP="006824F9">
            <w:pPr>
              <w:pStyle w:val="styl0"/>
              <w:numPr>
                <w:ilvl w:val="0"/>
                <w:numId w:val="36"/>
              </w:numPr>
              <w:spacing w:before="120"/>
              <w:ind w:left="355"/>
            </w:pPr>
            <w:r>
              <w:t xml:space="preserve">zobowiązanie Sprzedawcy do niezwłocznego informowania OSD o utracie wskazanego POB w wyniku zaprzestania lub zawieszenia jego działalności na RB w rozumieniu </w:t>
            </w:r>
            <w:proofErr w:type="spellStart"/>
            <w:r>
              <w:t>IRiESP</w:t>
            </w:r>
            <w:proofErr w:type="spellEnd"/>
            <w:r>
              <w:t>-Bilansowanie,</w:t>
            </w:r>
          </w:p>
          <w:p w:rsidR="00C452C4" w:rsidRDefault="00C452C4" w:rsidP="006824F9">
            <w:pPr>
              <w:pStyle w:val="styl0"/>
              <w:numPr>
                <w:ilvl w:val="0"/>
                <w:numId w:val="36"/>
              </w:numPr>
              <w:spacing w:before="120"/>
              <w:ind w:left="355"/>
            </w:pPr>
            <w:r>
              <w:t>zasady rozwiązania i ograniczania realizacji umowy, w tym w przypadku zaprzestania działalności przez POB Sprzedawcy,</w:t>
            </w:r>
          </w:p>
          <w:p w:rsidR="00C452C4" w:rsidRDefault="00C452C4" w:rsidP="006824F9">
            <w:pPr>
              <w:pStyle w:val="styl0"/>
              <w:numPr>
                <w:ilvl w:val="0"/>
                <w:numId w:val="36"/>
              </w:numPr>
              <w:spacing w:before="120"/>
              <w:ind w:left="355"/>
            </w:pPr>
            <w:r>
              <w:t xml:space="preserve">zasady i warunki świadczenia rezerwowej usługi kompleksowej. </w:t>
            </w:r>
          </w:p>
          <w:p w:rsidR="00C452C4" w:rsidRPr="00F8567E" w:rsidRDefault="00C452C4" w:rsidP="00C452C4">
            <w:pPr>
              <w:pStyle w:val="styl0"/>
              <w:spacing w:before="120"/>
            </w:pPr>
            <w:r>
              <w:t xml:space="preserve">Podmiot zamierzający sprzedawać energię elektryczną URD innym niż gospodarstwa domowe przyłączone do sieci elektroenergetycznej OSD o napięciu znamionowym do 1 </w:t>
            </w:r>
            <w:proofErr w:type="spellStart"/>
            <w:r>
              <w:t>kV</w:t>
            </w:r>
            <w:proofErr w:type="spellEnd"/>
            <w:r>
              <w:t xml:space="preserve"> na obszarze działania OSD na podstawie umów kompleksowych, może pełnić funkcję Sprzedawcy usługi kompleksowej dla tych URD. Zasady realizacji umów kompleksowych z tymi URD, określa odrębna umowa o świadczenie usług dystrybucji energii elektrycznej zawarta pomiędzy Sprzedawcą a OSD.</w:t>
            </w:r>
          </w:p>
        </w:tc>
      </w:tr>
      <w:tr w:rsidR="007934B6" w:rsidRPr="00F8567E" w:rsidTr="00F021B9">
        <w:tc>
          <w:tcPr>
            <w:tcW w:w="1063" w:type="dxa"/>
          </w:tcPr>
          <w:p w:rsidR="007934B6" w:rsidRPr="00F8567E" w:rsidRDefault="007934B6" w:rsidP="00480B92">
            <w:pPr>
              <w:tabs>
                <w:tab w:val="left" w:pos="0"/>
              </w:tabs>
              <w:ind w:right="-57" w:firstLine="0"/>
              <w:jc w:val="left"/>
              <w:rPr>
                <w:color w:val="auto"/>
              </w:rPr>
            </w:pPr>
            <w:r>
              <w:rPr>
                <w:color w:val="auto"/>
              </w:rPr>
              <w:lastRenderedPageBreak/>
              <w:t>A.4.3.</w:t>
            </w:r>
            <w:r w:rsidR="00C452C4">
              <w:rPr>
                <w:color w:val="auto"/>
              </w:rPr>
              <w:t>7</w:t>
            </w:r>
            <w:r>
              <w:rPr>
                <w:color w:val="auto"/>
              </w:rPr>
              <w:t>.</w:t>
            </w:r>
          </w:p>
        </w:tc>
        <w:tc>
          <w:tcPr>
            <w:tcW w:w="8147" w:type="dxa"/>
          </w:tcPr>
          <w:p w:rsidR="007934B6" w:rsidRDefault="00480B92" w:rsidP="007934B6">
            <w:pPr>
              <w:tabs>
                <w:tab w:val="clear" w:pos="4536"/>
                <w:tab w:val="clear" w:pos="9072"/>
              </w:tabs>
              <w:autoSpaceDE w:val="0"/>
              <w:autoSpaceDN w:val="0"/>
              <w:adjustRightInd w:val="0"/>
              <w:ind w:firstLine="0"/>
              <w:rPr>
                <w:color w:val="auto"/>
              </w:rPr>
            </w:pPr>
            <w:r>
              <w:rPr>
                <w:szCs w:val="24"/>
              </w:rPr>
              <w:t xml:space="preserve">Umowa, o której mowa w pkt.A.4.3.5. </w:t>
            </w:r>
            <w:r w:rsidR="00C43C86">
              <w:rPr>
                <w:szCs w:val="24"/>
              </w:rPr>
              <w:t xml:space="preserve">i A.4.3.6. </w:t>
            </w:r>
            <w:r>
              <w:rPr>
                <w:szCs w:val="24"/>
              </w:rPr>
              <w:t>jest rozwiązywana automatycznie ze skutkiem natychmiastowym w przypadku utraty przez sprzedawcę POB świadczącego na jego rzecz URD usługę bilansowania handlowego na rynku bilansującym. Od momentu rozwiązania ww. umowy, sprzedaż energii elektrycznej do URD typu odbiorca jest realizowana przez sprzedawcę rezerwowego</w:t>
            </w:r>
            <w:r w:rsidR="007934B6">
              <w:rPr>
                <w:color w:val="auto"/>
                <w:szCs w:val="24"/>
              </w:rPr>
              <w:t>.</w:t>
            </w:r>
          </w:p>
        </w:tc>
      </w:tr>
      <w:tr w:rsidR="007934B6" w:rsidRPr="00F8567E" w:rsidTr="00F021B9">
        <w:tc>
          <w:tcPr>
            <w:tcW w:w="1063" w:type="dxa"/>
          </w:tcPr>
          <w:p w:rsidR="007934B6" w:rsidRPr="00F8567E" w:rsidRDefault="00C452C4" w:rsidP="007934B6">
            <w:pPr>
              <w:tabs>
                <w:tab w:val="left" w:pos="0"/>
              </w:tabs>
              <w:ind w:right="-57" w:firstLine="0"/>
              <w:jc w:val="left"/>
              <w:rPr>
                <w:color w:val="auto"/>
              </w:rPr>
            </w:pPr>
            <w:r>
              <w:rPr>
                <w:color w:val="auto"/>
              </w:rPr>
              <w:t>A.4.3.8</w:t>
            </w:r>
            <w:r w:rsidR="007934B6">
              <w:rPr>
                <w:color w:val="auto"/>
              </w:rPr>
              <w:t>.</w:t>
            </w:r>
          </w:p>
        </w:tc>
        <w:tc>
          <w:tcPr>
            <w:tcW w:w="8147" w:type="dxa"/>
          </w:tcPr>
          <w:p w:rsidR="007934B6" w:rsidRPr="007C2E80" w:rsidRDefault="007934B6" w:rsidP="007934B6">
            <w:pPr>
              <w:pStyle w:val="styl0"/>
              <w:spacing w:before="120"/>
              <w:rPr>
                <w:szCs w:val="24"/>
              </w:rPr>
            </w:pPr>
            <w:r w:rsidRPr="00384819">
              <w:rPr>
                <w:szCs w:val="24"/>
              </w:rPr>
              <w:t xml:space="preserve">W celu realizacji obowiązków w zakresie współpracy z OSP, o których mowa w </w:t>
            </w:r>
            <w:r w:rsidRPr="00384819">
              <w:rPr>
                <w:szCs w:val="24"/>
              </w:rPr>
              <w:lastRenderedPageBreak/>
              <w:t xml:space="preserve">pkt. A.1.2., </w:t>
            </w:r>
            <w:r w:rsidR="00E45165">
              <w:rPr>
                <w:szCs w:val="24"/>
              </w:rPr>
              <w:t>OSD</w:t>
            </w:r>
            <w:r w:rsidRPr="00384819">
              <w:rPr>
                <w:szCs w:val="24"/>
              </w:rPr>
              <w:t xml:space="preserve"> dla obszaru swojej sieci dystrybucyjnej zawiera z </w:t>
            </w:r>
            <w:r>
              <w:rPr>
                <w:szCs w:val="24"/>
              </w:rPr>
              <w:t>OP-</w:t>
            </w:r>
            <w:proofErr w:type="spellStart"/>
            <w:r>
              <w:rPr>
                <w:szCs w:val="24"/>
              </w:rPr>
              <w:t>OSDp</w:t>
            </w:r>
            <w:proofErr w:type="spellEnd"/>
            <w:r w:rsidRPr="00384819">
              <w:rPr>
                <w:szCs w:val="24"/>
              </w:rPr>
              <w:t xml:space="preserve"> umowę.</w:t>
            </w:r>
          </w:p>
        </w:tc>
      </w:tr>
      <w:tr w:rsidR="007934B6" w:rsidRPr="00F8567E" w:rsidTr="00F021B9">
        <w:tc>
          <w:tcPr>
            <w:tcW w:w="1063" w:type="dxa"/>
          </w:tcPr>
          <w:p w:rsidR="007934B6" w:rsidRPr="00F8567E" w:rsidRDefault="007934B6" w:rsidP="007934B6">
            <w:pPr>
              <w:tabs>
                <w:tab w:val="left" w:pos="0"/>
              </w:tabs>
              <w:ind w:right="-57" w:firstLine="0"/>
              <w:jc w:val="left"/>
              <w:rPr>
                <w:color w:val="auto"/>
              </w:rPr>
            </w:pPr>
          </w:p>
        </w:tc>
        <w:tc>
          <w:tcPr>
            <w:tcW w:w="8147" w:type="dxa"/>
          </w:tcPr>
          <w:p w:rsidR="007934B6" w:rsidRPr="00F8567E" w:rsidRDefault="007934B6" w:rsidP="007934B6">
            <w:pPr>
              <w:tabs>
                <w:tab w:val="clear" w:pos="4536"/>
                <w:tab w:val="clear" w:pos="9072"/>
              </w:tabs>
              <w:ind w:firstLine="0"/>
              <w:rPr>
                <w:color w:val="auto"/>
              </w:rPr>
            </w:pPr>
          </w:p>
        </w:tc>
      </w:tr>
      <w:tr w:rsidR="007934B6" w:rsidRPr="00F8567E" w:rsidTr="00F021B9">
        <w:trPr>
          <w:cantSplit/>
        </w:trPr>
        <w:tc>
          <w:tcPr>
            <w:tcW w:w="9210" w:type="dxa"/>
            <w:gridSpan w:val="2"/>
          </w:tcPr>
          <w:p w:rsidR="007934B6" w:rsidRPr="00F8567E" w:rsidRDefault="007934B6" w:rsidP="007934B6">
            <w:pPr>
              <w:ind w:left="993" w:hanging="993"/>
              <w:rPr>
                <w:b/>
              </w:rPr>
            </w:pPr>
            <w:bookmarkStart w:id="10" w:name="_Toc106443303"/>
            <w:bookmarkStart w:id="11" w:name="_Toc106525956"/>
            <w:r w:rsidRPr="00F8567E">
              <w:rPr>
                <w:b/>
              </w:rPr>
              <w:t xml:space="preserve">A.5. </w:t>
            </w:r>
            <w:r w:rsidRPr="00F8567E">
              <w:rPr>
                <w:b/>
              </w:rPr>
              <w:tab/>
              <w:t xml:space="preserve">ZASADY KONFIGURACJI PODMIOTOWEJ I OBIEKTOWEJ RYNKU DETALICZNEGO ORAZ NADAWANIA KODÓW </w:t>
            </w:r>
            <w:r w:rsidR="00571C2B">
              <w:rPr>
                <w:b/>
              </w:rPr>
              <w:t>I</w:t>
            </w:r>
            <w:r w:rsidRPr="00F8567E">
              <w:rPr>
                <w:b/>
              </w:rPr>
              <w:t>DENTYFIKACYJNYCH</w:t>
            </w:r>
          </w:p>
          <w:bookmarkEnd w:id="10"/>
          <w:bookmarkEnd w:id="11"/>
          <w:p w:rsidR="007934B6" w:rsidRPr="00F8567E" w:rsidRDefault="007934B6" w:rsidP="007934B6">
            <w:pPr>
              <w:ind w:left="567" w:hanging="141"/>
              <w:rPr>
                <w:b/>
                <w:color w:val="auto"/>
              </w:rPr>
            </w:pPr>
          </w:p>
        </w:tc>
      </w:tr>
      <w:tr w:rsidR="007934B6" w:rsidRPr="00F8567E" w:rsidTr="00F021B9">
        <w:tc>
          <w:tcPr>
            <w:tcW w:w="1063" w:type="dxa"/>
          </w:tcPr>
          <w:p w:rsidR="007934B6" w:rsidRPr="00F8567E" w:rsidRDefault="007934B6" w:rsidP="007934B6">
            <w:pPr>
              <w:pStyle w:val="styl0"/>
              <w:spacing w:before="120"/>
            </w:pPr>
            <w:r w:rsidRPr="00F8567E">
              <w:t>A.5.1.</w:t>
            </w:r>
          </w:p>
        </w:tc>
        <w:tc>
          <w:tcPr>
            <w:tcW w:w="8147" w:type="dxa"/>
          </w:tcPr>
          <w:p w:rsidR="007934B6" w:rsidRDefault="007934B6" w:rsidP="007934B6">
            <w:pPr>
              <w:pStyle w:val="Tekstpodstawowy"/>
              <w:tabs>
                <w:tab w:val="clear" w:pos="4536"/>
                <w:tab w:val="clear" w:pos="9072"/>
              </w:tabs>
              <w:spacing w:line="240" w:lineRule="auto"/>
              <w:rPr>
                <w:color w:val="auto"/>
              </w:rPr>
            </w:pPr>
            <w:r>
              <w:rPr>
                <w:color w:val="auto"/>
                <w:szCs w:val="24"/>
              </w:rPr>
              <w:t>OP-</w:t>
            </w:r>
            <w:proofErr w:type="spellStart"/>
            <w:r>
              <w:rPr>
                <w:color w:val="auto"/>
                <w:szCs w:val="24"/>
              </w:rPr>
              <w:t>OSDp</w:t>
            </w:r>
            <w:proofErr w:type="spellEnd"/>
            <w:r>
              <w:rPr>
                <w:color w:val="auto"/>
                <w:szCs w:val="24"/>
              </w:rPr>
              <w:t xml:space="preserve"> </w:t>
            </w:r>
            <w:r w:rsidRPr="00F8567E">
              <w:rPr>
                <w:color w:val="auto"/>
              </w:rPr>
              <w:t>bierze udział w administrowaniu rynk</w:t>
            </w:r>
            <w:r>
              <w:rPr>
                <w:color w:val="auto"/>
              </w:rPr>
              <w:t>iem</w:t>
            </w:r>
            <w:r w:rsidRPr="00F8567E">
              <w:rPr>
                <w:color w:val="auto"/>
              </w:rPr>
              <w:t xml:space="preserve"> bilansując</w:t>
            </w:r>
            <w:r>
              <w:rPr>
                <w:color w:val="auto"/>
              </w:rPr>
              <w:t>ym</w:t>
            </w:r>
            <w:r w:rsidRPr="00F8567E">
              <w:rPr>
                <w:color w:val="auto"/>
              </w:rPr>
              <w:t xml:space="preserve"> dla obszaru swojej sieci dystrybucyjnej </w:t>
            </w:r>
            <w:r>
              <w:rPr>
                <w:color w:val="auto"/>
              </w:rPr>
              <w:t xml:space="preserve">oraz sieci dystrybucyjnej </w:t>
            </w:r>
            <w:r w:rsidR="00E45165">
              <w:rPr>
                <w:color w:val="auto"/>
              </w:rPr>
              <w:t>OSD</w:t>
            </w:r>
            <w:r>
              <w:rPr>
                <w:color w:val="auto"/>
              </w:rPr>
              <w:t xml:space="preserve">, </w:t>
            </w:r>
            <w:r w:rsidRPr="00F8567E">
              <w:rPr>
                <w:color w:val="auto"/>
              </w:rPr>
              <w:t xml:space="preserve">w oparciu o postanowienia umowy przesyłowej zawartej z OSP i na zasadach określonych w </w:t>
            </w:r>
            <w:proofErr w:type="spellStart"/>
            <w:r w:rsidRPr="00F8567E">
              <w:rPr>
                <w:color w:val="auto"/>
              </w:rPr>
              <w:t>IRiESP</w:t>
            </w:r>
            <w:proofErr w:type="spellEnd"/>
            <w:r w:rsidRPr="00F8567E">
              <w:rPr>
                <w:color w:val="auto"/>
              </w:rPr>
              <w:t xml:space="preserve"> oraz administruje konfiguracją rynku detalicznego w oparciu o zasady zawarte w </w:t>
            </w:r>
            <w:proofErr w:type="spellStart"/>
            <w:r w:rsidRPr="00F8567E">
              <w:rPr>
                <w:color w:val="auto"/>
              </w:rPr>
              <w:t>IRiESD</w:t>
            </w:r>
            <w:proofErr w:type="spellEnd"/>
            <w:r w:rsidRPr="00F8567E">
              <w:rPr>
                <w:color w:val="auto"/>
              </w:rPr>
              <w:t xml:space="preserve">-Bilansowanie </w:t>
            </w:r>
            <w:r>
              <w:rPr>
                <w:color w:val="auto"/>
              </w:rPr>
              <w:t>OP-</w:t>
            </w:r>
            <w:proofErr w:type="spellStart"/>
            <w:r>
              <w:rPr>
                <w:color w:val="auto"/>
              </w:rPr>
              <w:t>OSDp</w:t>
            </w:r>
            <w:proofErr w:type="spellEnd"/>
            <w:r>
              <w:rPr>
                <w:color w:val="auto"/>
              </w:rPr>
              <w:t xml:space="preserve"> </w:t>
            </w:r>
            <w:r w:rsidRPr="00F8567E">
              <w:rPr>
                <w:color w:val="auto"/>
              </w:rPr>
              <w:t>i postanowienia umów dystrybucyjnych.</w:t>
            </w:r>
          </w:p>
          <w:p w:rsidR="007934B6" w:rsidRPr="00F8567E" w:rsidRDefault="007934B6" w:rsidP="007934B6">
            <w:pPr>
              <w:pStyle w:val="Tekstpodstawowy"/>
              <w:tabs>
                <w:tab w:val="clear" w:pos="4536"/>
                <w:tab w:val="clear" w:pos="9072"/>
              </w:tabs>
              <w:spacing w:line="240" w:lineRule="auto"/>
              <w:rPr>
                <w:color w:val="auto"/>
              </w:rPr>
            </w:pPr>
            <w:r>
              <w:rPr>
                <w:color w:val="auto"/>
                <w:szCs w:val="24"/>
              </w:rPr>
              <w:t>OP-</w:t>
            </w:r>
            <w:proofErr w:type="spellStart"/>
            <w:r>
              <w:rPr>
                <w:color w:val="auto"/>
                <w:szCs w:val="24"/>
              </w:rPr>
              <w:t>OSDp</w:t>
            </w:r>
            <w:proofErr w:type="spellEnd"/>
            <w:r>
              <w:rPr>
                <w:color w:val="auto"/>
                <w:szCs w:val="24"/>
              </w:rPr>
              <w:t xml:space="preserve"> </w:t>
            </w:r>
            <w:r w:rsidRPr="00F8567E">
              <w:rPr>
                <w:color w:val="auto"/>
              </w:rPr>
              <w:t>bierze udział w administrowaniu rynk</w:t>
            </w:r>
            <w:r>
              <w:rPr>
                <w:color w:val="auto"/>
              </w:rPr>
              <w:t>iem</w:t>
            </w:r>
            <w:r w:rsidRPr="00F8567E">
              <w:rPr>
                <w:color w:val="auto"/>
              </w:rPr>
              <w:t xml:space="preserve"> bilansując</w:t>
            </w:r>
            <w:r>
              <w:rPr>
                <w:color w:val="auto"/>
              </w:rPr>
              <w:t>ym</w:t>
            </w:r>
            <w:r w:rsidRPr="00F8567E">
              <w:rPr>
                <w:color w:val="auto"/>
              </w:rPr>
              <w:t xml:space="preserve"> dla obszaru sieci dystrybucyjnej</w:t>
            </w:r>
            <w:r>
              <w:rPr>
                <w:color w:val="auto"/>
              </w:rPr>
              <w:t xml:space="preserve"> </w:t>
            </w:r>
            <w:r w:rsidR="00E45165">
              <w:rPr>
                <w:color w:val="auto"/>
              </w:rPr>
              <w:t>OSD</w:t>
            </w:r>
            <w:r>
              <w:rPr>
                <w:color w:val="auto"/>
              </w:rPr>
              <w:t>,</w:t>
            </w:r>
            <w:r w:rsidRPr="00F8567E">
              <w:rPr>
                <w:color w:val="auto"/>
              </w:rPr>
              <w:t xml:space="preserve"> </w:t>
            </w:r>
            <w:r>
              <w:rPr>
                <w:color w:val="auto"/>
              </w:rPr>
              <w:t xml:space="preserve">na podstawie umowy zawartej pomiędzy </w:t>
            </w:r>
            <w:r w:rsidR="00E45165">
              <w:rPr>
                <w:color w:val="auto"/>
              </w:rPr>
              <w:t>OSD</w:t>
            </w:r>
            <w:r>
              <w:rPr>
                <w:color w:val="auto"/>
              </w:rPr>
              <w:t xml:space="preserve"> i OP-</w:t>
            </w:r>
            <w:proofErr w:type="spellStart"/>
            <w:r>
              <w:rPr>
                <w:color w:val="auto"/>
              </w:rPr>
              <w:t>OSDp</w:t>
            </w:r>
            <w:proofErr w:type="spellEnd"/>
            <w:r>
              <w:rPr>
                <w:color w:val="auto"/>
              </w:rPr>
              <w:t>.</w:t>
            </w:r>
          </w:p>
        </w:tc>
      </w:tr>
      <w:tr w:rsidR="007934B6" w:rsidRPr="00F8567E" w:rsidTr="00F021B9">
        <w:tc>
          <w:tcPr>
            <w:tcW w:w="1063" w:type="dxa"/>
          </w:tcPr>
          <w:p w:rsidR="007934B6" w:rsidRPr="00F8567E" w:rsidRDefault="007934B6" w:rsidP="007934B6">
            <w:pPr>
              <w:pStyle w:val="styl0"/>
              <w:spacing w:before="120"/>
            </w:pPr>
            <w:r w:rsidRPr="00F8567E">
              <w:t>A.5.2.</w:t>
            </w:r>
          </w:p>
        </w:tc>
        <w:tc>
          <w:tcPr>
            <w:tcW w:w="8147" w:type="dxa"/>
          </w:tcPr>
          <w:p w:rsidR="007934B6" w:rsidRPr="00F8567E" w:rsidRDefault="007934B6" w:rsidP="007934B6">
            <w:pPr>
              <w:pStyle w:val="Nagwek2"/>
              <w:keepNext/>
              <w:widowControl w:val="0"/>
              <w:numPr>
                <w:ilvl w:val="1"/>
                <w:numId w:val="0"/>
              </w:numPr>
              <w:tabs>
                <w:tab w:val="clear" w:pos="4536"/>
                <w:tab w:val="clear" w:pos="9072"/>
                <w:tab w:val="num" w:pos="0"/>
              </w:tabs>
              <w:adjustRightInd w:val="0"/>
              <w:spacing w:before="120"/>
              <w:textAlignment w:val="baseline"/>
              <w:rPr>
                <w:b w:val="0"/>
              </w:rPr>
            </w:pPr>
            <w:r w:rsidRPr="00F8567E">
              <w:rPr>
                <w:b w:val="0"/>
              </w:rPr>
              <w:t xml:space="preserve">W ramach obowiązków związanych z </w:t>
            </w:r>
            <w:r>
              <w:rPr>
                <w:b w:val="0"/>
              </w:rPr>
              <w:t>przekazywaniem danych pomiarowych do OP-</w:t>
            </w:r>
            <w:proofErr w:type="spellStart"/>
            <w:r>
              <w:rPr>
                <w:b w:val="0"/>
              </w:rPr>
              <w:t>OSDp</w:t>
            </w:r>
            <w:proofErr w:type="spellEnd"/>
            <w:r>
              <w:rPr>
                <w:b w:val="0"/>
              </w:rPr>
              <w:t xml:space="preserve">, </w:t>
            </w:r>
            <w:r w:rsidR="00E45165">
              <w:rPr>
                <w:b w:val="0"/>
              </w:rPr>
              <w:t>OSD</w:t>
            </w:r>
            <w:r>
              <w:rPr>
                <w:szCs w:val="24"/>
              </w:rPr>
              <w:t xml:space="preserve"> </w:t>
            </w:r>
            <w:r w:rsidRPr="00F8567E">
              <w:rPr>
                <w:b w:val="0"/>
              </w:rPr>
              <w:t>realizuje następujące zadania:</w:t>
            </w:r>
          </w:p>
          <w:p w:rsidR="007934B6" w:rsidRPr="00D669B8" w:rsidRDefault="007934B6" w:rsidP="007934B6">
            <w:pPr>
              <w:widowControl w:val="0"/>
              <w:numPr>
                <w:ilvl w:val="0"/>
                <w:numId w:val="18"/>
              </w:numPr>
              <w:tabs>
                <w:tab w:val="clear" w:pos="4536"/>
                <w:tab w:val="clear" w:pos="9072"/>
              </w:tabs>
              <w:adjustRightInd w:val="0"/>
              <w:textAlignment w:val="baseline"/>
            </w:pPr>
            <w:r>
              <w:t>z</w:t>
            </w:r>
            <w:r w:rsidRPr="00D669B8">
              <w:t xml:space="preserve">arządza konfiguracją w zakresie przyporządkowywania URD do poszczególnych </w:t>
            </w:r>
            <w:r>
              <w:t>POB</w:t>
            </w:r>
            <w:r w:rsidRPr="00D669B8">
              <w:t xml:space="preserve">, jako podmiotów prowadzących </w:t>
            </w:r>
            <w:r>
              <w:t>bilansowanie handlowe tych URD,</w:t>
            </w:r>
          </w:p>
          <w:p w:rsidR="007934B6" w:rsidRDefault="007934B6" w:rsidP="007934B6">
            <w:pPr>
              <w:widowControl w:val="0"/>
              <w:numPr>
                <w:ilvl w:val="0"/>
                <w:numId w:val="18"/>
              </w:numPr>
              <w:tabs>
                <w:tab w:val="clear" w:pos="4536"/>
                <w:tab w:val="clear" w:pos="9072"/>
              </w:tabs>
              <w:adjustRightInd w:val="0"/>
              <w:textAlignment w:val="baseline"/>
            </w:pPr>
            <w:r>
              <w:t>w</w:t>
            </w:r>
            <w:r w:rsidRPr="00D669B8">
              <w:t xml:space="preserve">yznacza oraz przyporządkowuje ilości dostaw energii dotyczących URD do poszczególnych </w:t>
            </w:r>
            <w:r>
              <w:t>POB</w:t>
            </w:r>
            <w:r w:rsidRPr="00D669B8">
              <w:t>, pełniących dla tych URD funkcje podmiotów odpowiedzialnych za bilansowanie handlowe,</w:t>
            </w:r>
          </w:p>
          <w:p w:rsidR="007934B6" w:rsidRPr="00D669B8" w:rsidRDefault="007934B6" w:rsidP="007934B6">
            <w:pPr>
              <w:widowControl w:val="0"/>
              <w:numPr>
                <w:ilvl w:val="0"/>
                <w:numId w:val="18"/>
              </w:numPr>
              <w:tabs>
                <w:tab w:val="clear" w:pos="4536"/>
                <w:tab w:val="clear" w:pos="9072"/>
              </w:tabs>
              <w:adjustRightInd w:val="0"/>
              <w:textAlignment w:val="baseline"/>
            </w:pPr>
            <w:r w:rsidRPr="00D669B8">
              <w:t xml:space="preserve">przekazuje do </w:t>
            </w:r>
            <w:r>
              <w:t>OP-</w:t>
            </w:r>
            <w:proofErr w:type="spellStart"/>
            <w:r>
              <w:t>OSDp</w:t>
            </w:r>
            <w:proofErr w:type="spellEnd"/>
            <w:r w:rsidRPr="00D669B8">
              <w:t xml:space="preserve"> ilości dostaw energii dla </w:t>
            </w:r>
            <w:r>
              <w:t>poszczególnych POB,</w:t>
            </w:r>
          </w:p>
          <w:p w:rsidR="007934B6" w:rsidRPr="00D669B8" w:rsidRDefault="007934B6" w:rsidP="007934B6">
            <w:pPr>
              <w:widowControl w:val="0"/>
              <w:numPr>
                <w:ilvl w:val="0"/>
                <w:numId w:val="18"/>
              </w:numPr>
              <w:tabs>
                <w:tab w:val="clear" w:pos="4536"/>
                <w:tab w:val="clear" w:pos="9072"/>
              </w:tabs>
              <w:adjustRightInd w:val="0"/>
              <w:textAlignment w:val="baseline"/>
            </w:pPr>
            <w:r>
              <w:t>r</w:t>
            </w:r>
            <w:r w:rsidRPr="00D669B8">
              <w:t xml:space="preserve">ozpatruje reklamacje URB dotyczące przyporządkowanych im ilości dostaw energii </w:t>
            </w:r>
            <w:r>
              <w:t>od poszczególnych URD</w:t>
            </w:r>
            <w:r w:rsidRPr="00D669B8">
              <w:t xml:space="preserve"> i wprowadza niezbędne korekty w wymagają</w:t>
            </w:r>
            <w:r>
              <w:t>cych tego przypadkach,</w:t>
            </w:r>
          </w:p>
          <w:p w:rsidR="007934B6" w:rsidRPr="00F8567E" w:rsidRDefault="007934B6" w:rsidP="007934B6">
            <w:pPr>
              <w:widowControl w:val="0"/>
              <w:numPr>
                <w:ilvl w:val="0"/>
                <w:numId w:val="18"/>
              </w:numPr>
              <w:tabs>
                <w:tab w:val="clear" w:pos="4536"/>
                <w:tab w:val="clear" w:pos="9072"/>
              </w:tabs>
              <w:adjustRightInd w:val="0"/>
              <w:textAlignment w:val="baseline"/>
              <w:rPr>
                <w:szCs w:val="24"/>
              </w:rPr>
            </w:pPr>
            <w:r>
              <w:t>o</w:t>
            </w:r>
            <w:r w:rsidRPr="00D669B8">
              <w:t>bsługuje sytuacje wyjątkowe, polegające na utracie przez URD podmiotu odpowiedzialnego za jego bilansowanie</w:t>
            </w:r>
            <w:r>
              <w:t>.</w:t>
            </w:r>
          </w:p>
        </w:tc>
      </w:tr>
      <w:tr w:rsidR="007934B6" w:rsidRPr="00F8567E" w:rsidTr="00F021B9">
        <w:tc>
          <w:tcPr>
            <w:tcW w:w="1063" w:type="dxa"/>
          </w:tcPr>
          <w:p w:rsidR="007934B6" w:rsidRPr="00F8567E" w:rsidRDefault="007934B6" w:rsidP="007934B6">
            <w:pPr>
              <w:pStyle w:val="styl0"/>
              <w:spacing w:before="120"/>
            </w:pPr>
            <w:r>
              <w:t>A.5.3.</w:t>
            </w:r>
          </w:p>
        </w:tc>
        <w:tc>
          <w:tcPr>
            <w:tcW w:w="8147" w:type="dxa"/>
          </w:tcPr>
          <w:p w:rsidR="007934B6" w:rsidRPr="00F8567E" w:rsidRDefault="007934B6" w:rsidP="007934B6">
            <w:pPr>
              <w:pStyle w:val="Nagwek2"/>
              <w:keepNext/>
              <w:widowControl w:val="0"/>
              <w:numPr>
                <w:ilvl w:val="1"/>
                <w:numId w:val="0"/>
              </w:numPr>
              <w:tabs>
                <w:tab w:val="clear" w:pos="4536"/>
                <w:tab w:val="clear" w:pos="9072"/>
                <w:tab w:val="num" w:pos="0"/>
              </w:tabs>
              <w:adjustRightInd w:val="0"/>
              <w:spacing w:before="120"/>
              <w:textAlignment w:val="baseline"/>
              <w:rPr>
                <w:b w:val="0"/>
              </w:rPr>
            </w:pPr>
            <w:r w:rsidRPr="00F8567E">
              <w:rPr>
                <w:b w:val="0"/>
              </w:rPr>
              <w:t>W ramach obowiązków związanych z administrowaniem rynk</w:t>
            </w:r>
            <w:r>
              <w:rPr>
                <w:b w:val="0"/>
              </w:rPr>
              <w:t>iem</w:t>
            </w:r>
            <w:r w:rsidRPr="00F8567E">
              <w:rPr>
                <w:b w:val="0"/>
              </w:rPr>
              <w:t xml:space="preserve"> detaliczn</w:t>
            </w:r>
            <w:r>
              <w:rPr>
                <w:b w:val="0"/>
              </w:rPr>
              <w:t>ym</w:t>
            </w:r>
            <w:r w:rsidRPr="00F8567E">
              <w:rPr>
                <w:b w:val="0"/>
              </w:rPr>
              <w:t xml:space="preserve">, </w:t>
            </w:r>
            <w:r w:rsidR="00E45165">
              <w:rPr>
                <w:b w:val="0"/>
              </w:rPr>
              <w:t>OSD</w:t>
            </w:r>
            <w:r>
              <w:rPr>
                <w:szCs w:val="24"/>
              </w:rPr>
              <w:t xml:space="preserve"> </w:t>
            </w:r>
            <w:r w:rsidRPr="00F8567E">
              <w:rPr>
                <w:b w:val="0"/>
              </w:rPr>
              <w:t>realizuje następujące zadania:</w:t>
            </w:r>
          </w:p>
          <w:p w:rsidR="007934B6" w:rsidRDefault="007934B6" w:rsidP="007934B6">
            <w:pPr>
              <w:widowControl w:val="0"/>
              <w:numPr>
                <w:ilvl w:val="0"/>
                <w:numId w:val="9"/>
              </w:numPr>
              <w:tabs>
                <w:tab w:val="clear" w:pos="4536"/>
                <w:tab w:val="clear" w:pos="9072"/>
              </w:tabs>
              <w:adjustRightInd w:val="0"/>
              <w:textAlignment w:val="baseline"/>
              <w:rPr>
                <w:szCs w:val="24"/>
              </w:rPr>
            </w:pPr>
            <w:r w:rsidRPr="00F8567E">
              <w:rPr>
                <w:szCs w:val="24"/>
              </w:rPr>
              <w:t>przyporządkow</w:t>
            </w:r>
            <w:r>
              <w:rPr>
                <w:szCs w:val="24"/>
              </w:rPr>
              <w:t>uje</w:t>
            </w:r>
            <w:r w:rsidRPr="00F8567E">
              <w:rPr>
                <w:szCs w:val="24"/>
              </w:rPr>
              <w:t xml:space="preserve"> sprzedawców oraz URD typu wytwórca do poszczególnych POB, jako podmiotowi prowadzącemu bilansowanie handlowe na RB, na podstawie umów dystrybucji i generalnych umów dystrybucji,</w:t>
            </w:r>
          </w:p>
          <w:p w:rsidR="00530DF8" w:rsidRDefault="00530DF8" w:rsidP="00530DF8">
            <w:pPr>
              <w:widowControl w:val="0"/>
              <w:numPr>
                <w:ilvl w:val="0"/>
                <w:numId w:val="9"/>
              </w:numPr>
              <w:tabs>
                <w:tab w:val="clear" w:pos="4536"/>
                <w:tab w:val="clear" w:pos="9072"/>
              </w:tabs>
              <w:adjustRightInd w:val="0"/>
              <w:textAlignment w:val="baseline"/>
              <w:rPr>
                <w:szCs w:val="24"/>
              </w:rPr>
            </w:pPr>
            <w:r>
              <w:rPr>
                <w:szCs w:val="24"/>
              </w:rPr>
              <w:t>przyporządkowuje sprzedawców oraz URD typu wytwórca do poszczególnych POB, jako podmiotowi prowadzącemu bilansowanie handlowe na RB, na podstawie umów dystrybucji i generalnych umów dystrybucji,</w:t>
            </w:r>
          </w:p>
          <w:p w:rsidR="00530DF8" w:rsidRPr="00530DF8" w:rsidRDefault="00530DF8" w:rsidP="00530DF8">
            <w:pPr>
              <w:widowControl w:val="0"/>
              <w:numPr>
                <w:ilvl w:val="0"/>
                <w:numId w:val="9"/>
              </w:numPr>
              <w:tabs>
                <w:tab w:val="clear" w:pos="4536"/>
                <w:tab w:val="clear" w:pos="9072"/>
              </w:tabs>
              <w:adjustRightInd w:val="0"/>
              <w:textAlignment w:val="baseline"/>
              <w:rPr>
                <w:szCs w:val="24"/>
              </w:rPr>
            </w:pPr>
            <w:r>
              <w:rPr>
                <w:szCs w:val="24"/>
              </w:rPr>
              <w:t xml:space="preserve">przyporządkowuje URD do poszczególnych miejsc MDD przydzielonym </w:t>
            </w:r>
            <w:r>
              <w:rPr>
                <w:szCs w:val="24"/>
              </w:rPr>
              <w:lastRenderedPageBreak/>
              <w:t>sprzedawcom na podstawie GUD lub GUD-K,</w:t>
            </w:r>
          </w:p>
          <w:p w:rsidR="007934B6" w:rsidRPr="00F8567E" w:rsidRDefault="007934B6" w:rsidP="007934B6">
            <w:pPr>
              <w:widowControl w:val="0"/>
              <w:numPr>
                <w:ilvl w:val="0"/>
                <w:numId w:val="9"/>
              </w:numPr>
              <w:tabs>
                <w:tab w:val="clear" w:pos="4536"/>
                <w:tab w:val="clear" w:pos="9072"/>
              </w:tabs>
              <w:adjustRightInd w:val="0"/>
              <w:textAlignment w:val="baseline"/>
              <w:rPr>
                <w:szCs w:val="24"/>
              </w:rPr>
            </w:pPr>
            <w:r>
              <w:rPr>
                <w:szCs w:val="24"/>
              </w:rPr>
              <w:t>realizuje</w:t>
            </w:r>
            <w:r w:rsidRPr="00F8567E">
              <w:rPr>
                <w:szCs w:val="24"/>
              </w:rPr>
              <w:t xml:space="preserve"> procedur</w:t>
            </w:r>
            <w:r>
              <w:rPr>
                <w:szCs w:val="24"/>
              </w:rPr>
              <w:t>ę</w:t>
            </w:r>
            <w:r w:rsidRPr="00F8567E">
              <w:rPr>
                <w:szCs w:val="24"/>
              </w:rPr>
              <w:t xml:space="preserve"> zmiany POB przez sprzedawcę lub URD typu wytwórca,</w:t>
            </w:r>
          </w:p>
          <w:p w:rsidR="007934B6" w:rsidRPr="00F8567E" w:rsidRDefault="007934B6" w:rsidP="007934B6">
            <w:pPr>
              <w:widowControl w:val="0"/>
              <w:numPr>
                <w:ilvl w:val="0"/>
                <w:numId w:val="9"/>
              </w:numPr>
              <w:tabs>
                <w:tab w:val="clear" w:pos="4536"/>
                <w:tab w:val="clear" w:pos="9072"/>
              </w:tabs>
              <w:adjustRightInd w:val="0"/>
              <w:textAlignment w:val="baseline"/>
              <w:rPr>
                <w:szCs w:val="24"/>
              </w:rPr>
            </w:pPr>
            <w:r w:rsidRPr="00F8567E">
              <w:rPr>
                <w:szCs w:val="24"/>
              </w:rPr>
              <w:t>przekaz</w:t>
            </w:r>
            <w:r>
              <w:rPr>
                <w:szCs w:val="24"/>
              </w:rPr>
              <w:t>uje</w:t>
            </w:r>
            <w:r w:rsidRPr="00F8567E">
              <w:rPr>
                <w:szCs w:val="24"/>
              </w:rPr>
              <w:t xml:space="preserve"> do </w:t>
            </w:r>
            <w:r>
              <w:rPr>
                <w:szCs w:val="24"/>
              </w:rPr>
              <w:t>OP-</w:t>
            </w:r>
            <w:proofErr w:type="spellStart"/>
            <w:r>
              <w:rPr>
                <w:szCs w:val="24"/>
              </w:rPr>
              <w:t>OSDp</w:t>
            </w:r>
            <w:proofErr w:type="spellEnd"/>
            <w:r w:rsidRPr="00F8567E">
              <w:rPr>
                <w:szCs w:val="24"/>
              </w:rPr>
              <w:t xml:space="preserve"> dan</w:t>
            </w:r>
            <w:r>
              <w:rPr>
                <w:szCs w:val="24"/>
              </w:rPr>
              <w:t>e</w:t>
            </w:r>
            <w:r w:rsidRPr="00F8567E">
              <w:rPr>
                <w:szCs w:val="24"/>
              </w:rPr>
              <w:t xml:space="preserve"> konfiguracyjn</w:t>
            </w:r>
            <w:r>
              <w:rPr>
                <w:szCs w:val="24"/>
              </w:rPr>
              <w:t xml:space="preserve">e </w:t>
            </w:r>
            <w:r w:rsidRPr="00F8567E">
              <w:rPr>
                <w:szCs w:val="24"/>
              </w:rPr>
              <w:t>niezbędn</w:t>
            </w:r>
            <w:r>
              <w:rPr>
                <w:szCs w:val="24"/>
              </w:rPr>
              <w:t>e</w:t>
            </w:r>
            <w:r w:rsidRPr="00F8567E">
              <w:rPr>
                <w:szCs w:val="24"/>
              </w:rPr>
              <w:t xml:space="preserve"> do monitorowania poprawności konfiguracji rynku </w:t>
            </w:r>
            <w:r>
              <w:rPr>
                <w:szCs w:val="24"/>
              </w:rPr>
              <w:t>bilansującego</w:t>
            </w:r>
            <w:r w:rsidRPr="00F8567E">
              <w:rPr>
                <w:szCs w:val="24"/>
              </w:rPr>
              <w:t>,</w:t>
            </w:r>
          </w:p>
          <w:p w:rsidR="007934B6" w:rsidRPr="00CC74AB" w:rsidRDefault="007934B6" w:rsidP="007934B6">
            <w:pPr>
              <w:widowControl w:val="0"/>
              <w:numPr>
                <w:ilvl w:val="0"/>
                <w:numId w:val="9"/>
              </w:numPr>
              <w:tabs>
                <w:tab w:val="clear" w:pos="4536"/>
                <w:tab w:val="clear" w:pos="9072"/>
              </w:tabs>
              <w:adjustRightInd w:val="0"/>
              <w:textAlignment w:val="baseline"/>
              <w:rPr>
                <w:szCs w:val="24"/>
              </w:rPr>
            </w:pPr>
            <w:r w:rsidRPr="00F8567E">
              <w:t>rozpatr</w:t>
            </w:r>
            <w:r>
              <w:t>uje</w:t>
            </w:r>
            <w:r w:rsidRPr="00F8567E">
              <w:t xml:space="preserve"> reklamacj</w:t>
            </w:r>
            <w:r>
              <w:t>e</w:t>
            </w:r>
            <w:r w:rsidRPr="00F8567E">
              <w:t xml:space="preserve"> POB dotycząc</w:t>
            </w:r>
            <w:r>
              <w:t>e</w:t>
            </w:r>
            <w:r w:rsidRPr="00F8567E">
              <w:t xml:space="preserve"> danych konfiguracyjnych i wprowadza niezbędn</w:t>
            </w:r>
            <w:r>
              <w:t>e</w:t>
            </w:r>
            <w:r w:rsidRPr="00F8567E">
              <w:t xml:space="preserve"> korekt</w:t>
            </w:r>
            <w:r>
              <w:t>y</w:t>
            </w:r>
            <w:r w:rsidRPr="00F8567E">
              <w:t>, zgodnie z zapisami rozdziału H</w:t>
            </w:r>
            <w:r>
              <w:t>.</w:t>
            </w:r>
          </w:p>
        </w:tc>
      </w:tr>
      <w:tr w:rsidR="007934B6" w:rsidRPr="00F8567E" w:rsidTr="00F021B9">
        <w:tc>
          <w:tcPr>
            <w:tcW w:w="1063" w:type="dxa"/>
          </w:tcPr>
          <w:p w:rsidR="007934B6" w:rsidRPr="00F8567E" w:rsidRDefault="007934B6" w:rsidP="007934B6">
            <w:pPr>
              <w:pStyle w:val="styl0"/>
              <w:spacing w:before="120"/>
            </w:pPr>
            <w:r w:rsidRPr="00F8567E">
              <w:lastRenderedPageBreak/>
              <w:t>A.5.</w:t>
            </w:r>
            <w:r>
              <w:t>4</w:t>
            </w:r>
            <w:r w:rsidRPr="00F8567E">
              <w:t>.</w:t>
            </w:r>
          </w:p>
        </w:tc>
        <w:tc>
          <w:tcPr>
            <w:tcW w:w="8147" w:type="dxa"/>
          </w:tcPr>
          <w:p w:rsidR="007934B6" w:rsidRDefault="00E45165" w:rsidP="007934B6">
            <w:pPr>
              <w:pStyle w:val="Tekstpodstawowy"/>
              <w:tabs>
                <w:tab w:val="clear" w:pos="4536"/>
                <w:tab w:val="clear" w:pos="9072"/>
              </w:tabs>
              <w:spacing w:line="240" w:lineRule="auto"/>
              <w:rPr>
                <w:color w:val="auto"/>
              </w:rPr>
            </w:pPr>
            <w:r>
              <w:rPr>
                <w:color w:val="auto"/>
                <w:szCs w:val="24"/>
              </w:rPr>
              <w:t>OSD</w:t>
            </w:r>
            <w:r w:rsidR="007934B6">
              <w:rPr>
                <w:color w:val="auto"/>
                <w:szCs w:val="24"/>
              </w:rPr>
              <w:t xml:space="preserve"> </w:t>
            </w:r>
            <w:r w:rsidR="007934B6" w:rsidRPr="00F8567E">
              <w:rPr>
                <w:color w:val="auto"/>
              </w:rPr>
              <w:t xml:space="preserve">nadaje kody identyfikacyjne </w:t>
            </w:r>
            <w:r w:rsidR="007934B6">
              <w:rPr>
                <w:color w:val="auto"/>
              </w:rPr>
              <w:t xml:space="preserve">wyłącznie </w:t>
            </w:r>
            <w:r w:rsidR="007934B6" w:rsidRPr="00F8567E">
              <w:rPr>
                <w:color w:val="auto"/>
              </w:rPr>
              <w:t>podmiotom, któr</w:t>
            </w:r>
            <w:r w:rsidR="007934B6">
              <w:rPr>
                <w:color w:val="auto"/>
              </w:rPr>
              <w:t xml:space="preserve">zy są przyłączeni do sieci dystrybucyjnej </w:t>
            </w:r>
            <w:r>
              <w:rPr>
                <w:color w:val="auto"/>
              </w:rPr>
              <w:t>OSD</w:t>
            </w:r>
            <w:r w:rsidR="007934B6">
              <w:rPr>
                <w:color w:val="auto"/>
              </w:rPr>
              <w:t xml:space="preserve">, wg następujących zasad: </w:t>
            </w:r>
          </w:p>
          <w:p w:rsidR="007934B6" w:rsidRDefault="007934B6" w:rsidP="007934B6">
            <w:pPr>
              <w:pStyle w:val="Tekstpodstawowy"/>
              <w:tabs>
                <w:tab w:val="clear" w:pos="4536"/>
                <w:tab w:val="clear" w:pos="9072"/>
              </w:tabs>
              <w:spacing w:line="240" w:lineRule="auto"/>
              <w:rPr>
                <w:color w:val="auto"/>
              </w:rPr>
            </w:pPr>
            <w:r>
              <w:rPr>
                <w:color w:val="auto"/>
              </w:rPr>
              <w:t>- S-xxx, gdzie xxx oznacza kolejnego sprzedawcę,</w:t>
            </w:r>
          </w:p>
          <w:p w:rsidR="007934B6" w:rsidRDefault="007934B6" w:rsidP="007934B6">
            <w:pPr>
              <w:pStyle w:val="Tekstpodstawowy"/>
              <w:tabs>
                <w:tab w:val="clear" w:pos="4536"/>
                <w:tab w:val="clear" w:pos="9072"/>
              </w:tabs>
              <w:spacing w:line="240" w:lineRule="auto"/>
              <w:rPr>
                <w:color w:val="auto"/>
              </w:rPr>
            </w:pPr>
            <w:r>
              <w:rPr>
                <w:color w:val="auto"/>
              </w:rPr>
              <w:t>- W-xxx, gdzie xxx oznacza kolejnego wytwórcę,</w:t>
            </w:r>
          </w:p>
          <w:p w:rsidR="007934B6" w:rsidRPr="00F8567E" w:rsidRDefault="007934B6" w:rsidP="007934B6">
            <w:pPr>
              <w:pStyle w:val="Tekstpodstawowy"/>
              <w:tabs>
                <w:tab w:val="clear" w:pos="4536"/>
                <w:tab w:val="clear" w:pos="9072"/>
              </w:tabs>
              <w:spacing w:line="240" w:lineRule="auto"/>
              <w:rPr>
                <w:color w:val="auto"/>
              </w:rPr>
            </w:pPr>
            <w:r>
              <w:rPr>
                <w:color w:val="auto"/>
              </w:rPr>
              <w:t>- O-xxx-</w:t>
            </w:r>
            <w:proofErr w:type="spellStart"/>
            <w:r>
              <w:rPr>
                <w:color w:val="auto"/>
              </w:rPr>
              <w:t>zzz</w:t>
            </w:r>
            <w:proofErr w:type="spellEnd"/>
            <w:r>
              <w:rPr>
                <w:color w:val="auto"/>
              </w:rPr>
              <w:t xml:space="preserve">, gdzie xxx oznacza kolejnego odbiorcę, </w:t>
            </w:r>
            <w:proofErr w:type="spellStart"/>
            <w:r>
              <w:rPr>
                <w:color w:val="auto"/>
              </w:rPr>
              <w:t>zzz</w:t>
            </w:r>
            <w:proofErr w:type="spellEnd"/>
            <w:r>
              <w:rPr>
                <w:color w:val="auto"/>
              </w:rPr>
              <w:t xml:space="preserve"> nr kolejny obiektu.</w:t>
            </w:r>
          </w:p>
        </w:tc>
      </w:tr>
      <w:tr w:rsidR="007934B6" w:rsidRPr="00F8567E" w:rsidTr="00F021B9">
        <w:tc>
          <w:tcPr>
            <w:tcW w:w="1063" w:type="dxa"/>
          </w:tcPr>
          <w:p w:rsidR="007934B6" w:rsidRPr="00F8567E" w:rsidRDefault="007934B6" w:rsidP="007934B6">
            <w:pPr>
              <w:pStyle w:val="styl0"/>
              <w:spacing w:before="120"/>
            </w:pPr>
            <w:r w:rsidRPr="00F8567E">
              <w:t>A.5.</w:t>
            </w:r>
            <w:r>
              <w:t>5</w:t>
            </w:r>
            <w:r w:rsidRPr="00F8567E">
              <w:t>.</w:t>
            </w:r>
          </w:p>
        </w:tc>
        <w:tc>
          <w:tcPr>
            <w:tcW w:w="8147" w:type="dxa"/>
          </w:tcPr>
          <w:p w:rsidR="007934B6" w:rsidRPr="00F8567E" w:rsidRDefault="007934B6" w:rsidP="007934B6">
            <w:pPr>
              <w:pStyle w:val="Tekstpodstawowy"/>
              <w:tabs>
                <w:tab w:val="clear" w:pos="4536"/>
                <w:tab w:val="clear" w:pos="9072"/>
              </w:tabs>
              <w:spacing w:line="240" w:lineRule="auto"/>
              <w:rPr>
                <w:color w:val="auto"/>
              </w:rPr>
            </w:pPr>
            <w:r>
              <w:rPr>
                <w:color w:val="auto"/>
                <w:szCs w:val="24"/>
              </w:rPr>
              <w:t>Dla podmiotów nie wymienionych w pkt. A.5.4. kody nadawane są zgodnie z instrukcją ruchu i eksploatacji sieci dystrybucyjnej OP-</w:t>
            </w:r>
            <w:proofErr w:type="spellStart"/>
            <w:r>
              <w:rPr>
                <w:color w:val="auto"/>
                <w:szCs w:val="24"/>
              </w:rPr>
              <w:t>OSDp</w:t>
            </w:r>
            <w:proofErr w:type="spellEnd"/>
            <w:r>
              <w:rPr>
                <w:color w:val="auto"/>
                <w:szCs w:val="24"/>
              </w:rPr>
              <w:t>.</w:t>
            </w:r>
          </w:p>
        </w:tc>
      </w:tr>
      <w:tr w:rsidR="007934B6" w:rsidRPr="00F8567E" w:rsidTr="00F021B9">
        <w:tc>
          <w:tcPr>
            <w:tcW w:w="1063" w:type="dxa"/>
          </w:tcPr>
          <w:p w:rsidR="007934B6" w:rsidRPr="00F8567E" w:rsidRDefault="007934B6" w:rsidP="007934B6">
            <w:pPr>
              <w:tabs>
                <w:tab w:val="left" w:pos="0"/>
              </w:tabs>
              <w:ind w:right="-57" w:firstLine="0"/>
              <w:jc w:val="left"/>
              <w:rPr>
                <w:color w:val="auto"/>
              </w:rPr>
            </w:pPr>
          </w:p>
        </w:tc>
        <w:tc>
          <w:tcPr>
            <w:tcW w:w="8147" w:type="dxa"/>
          </w:tcPr>
          <w:p w:rsidR="007934B6" w:rsidRPr="00F8567E" w:rsidRDefault="007934B6" w:rsidP="007934B6">
            <w:pPr>
              <w:tabs>
                <w:tab w:val="clear" w:pos="4536"/>
                <w:tab w:val="clear" w:pos="9072"/>
              </w:tabs>
              <w:ind w:firstLine="0"/>
              <w:rPr>
                <w:color w:val="auto"/>
              </w:rPr>
            </w:pPr>
          </w:p>
        </w:tc>
      </w:tr>
      <w:tr w:rsidR="007934B6" w:rsidRPr="00F8567E" w:rsidTr="00F021B9">
        <w:trPr>
          <w:cantSplit/>
        </w:trPr>
        <w:tc>
          <w:tcPr>
            <w:tcW w:w="9210" w:type="dxa"/>
            <w:gridSpan w:val="2"/>
          </w:tcPr>
          <w:p w:rsidR="007934B6" w:rsidRPr="00F8567E" w:rsidRDefault="007934B6" w:rsidP="007934B6">
            <w:pPr>
              <w:ind w:left="993" w:hanging="993"/>
              <w:rPr>
                <w:b/>
              </w:rPr>
            </w:pPr>
            <w:r w:rsidRPr="00F8567E">
              <w:rPr>
                <w:b/>
              </w:rPr>
              <w:t>A.</w:t>
            </w:r>
            <w:r>
              <w:rPr>
                <w:b/>
              </w:rPr>
              <w:t>6</w:t>
            </w:r>
            <w:r w:rsidRPr="00F8567E">
              <w:rPr>
                <w:b/>
              </w:rPr>
              <w:t xml:space="preserve">. </w:t>
            </w:r>
            <w:r w:rsidRPr="00F8567E">
              <w:rPr>
                <w:b/>
              </w:rPr>
              <w:tab/>
            </w:r>
            <w:r>
              <w:rPr>
                <w:b/>
              </w:rPr>
              <w:t xml:space="preserve">ZASADY </w:t>
            </w:r>
            <w:r w:rsidRPr="004444D5">
              <w:rPr>
                <w:b/>
              </w:rPr>
              <w:t xml:space="preserve">WSPÓŁPRACY </w:t>
            </w:r>
            <w:r w:rsidR="00E45165">
              <w:rPr>
                <w:b/>
              </w:rPr>
              <w:t>OSD</w:t>
            </w:r>
            <w:r>
              <w:rPr>
                <w:b/>
              </w:rPr>
              <w:t xml:space="preserve"> Z </w:t>
            </w:r>
            <w:proofErr w:type="spellStart"/>
            <w:r>
              <w:rPr>
                <w:b/>
              </w:rPr>
              <w:t>OSDp</w:t>
            </w:r>
            <w:proofErr w:type="spellEnd"/>
            <w:r>
              <w:rPr>
                <w:b/>
              </w:rPr>
              <w:t xml:space="preserve"> </w:t>
            </w:r>
            <w:r w:rsidRPr="004444D5">
              <w:rPr>
                <w:b/>
              </w:rPr>
              <w:t>W ZAKRESIE PRZEKAZYWANIA DANYCH POMIAROWYCH DLA POTRZEB ROZLICZEŃ NA RYNKU BILANSUJĄCYM</w:t>
            </w:r>
          </w:p>
          <w:p w:rsidR="007934B6" w:rsidRPr="00F8567E" w:rsidRDefault="007934B6" w:rsidP="007934B6">
            <w:pPr>
              <w:ind w:left="567" w:hanging="141"/>
              <w:rPr>
                <w:b/>
                <w:color w:val="auto"/>
              </w:rPr>
            </w:pPr>
          </w:p>
        </w:tc>
      </w:tr>
      <w:tr w:rsidR="007934B6" w:rsidRPr="00F8567E" w:rsidTr="00F021B9">
        <w:tc>
          <w:tcPr>
            <w:tcW w:w="1063" w:type="dxa"/>
          </w:tcPr>
          <w:p w:rsidR="007934B6" w:rsidRPr="00F8567E" w:rsidRDefault="007934B6" w:rsidP="007934B6">
            <w:pPr>
              <w:pStyle w:val="styl0"/>
              <w:spacing w:before="120"/>
            </w:pPr>
            <w:r>
              <w:t>A.6</w:t>
            </w:r>
            <w:r w:rsidRPr="00F8567E">
              <w:t>.1.</w:t>
            </w:r>
          </w:p>
        </w:tc>
        <w:tc>
          <w:tcPr>
            <w:tcW w:w="8147" w:type="dxa"/>
          </w:tcPr>
          <w:p w:rsidR="007934B6" w:rsidRPr="00F8567E" w:rsidRDefault="007934B6" w:rsidP="007934B6">
            <w:pPr>
              <w:pStyle w:val="Tekstpodstawowy"/>
              <w:tabs>
                <w:tab w:val="clear" w:pos="4536"/>
                <w:tab w:val="clear" w:pos="9072"/>
              </w:tabs>
              <w:spacing w:line="240" w:lineRule="auto"/>
              <w:rPr>
                <w:color w:val="auto"/>
              </w:rPr>
            </w:pPr>
            <w:r>
              <w:rPr>
                <w:color w:val="auto"/>
                <w:szCs w:val="24"/>
              </w:rPr>
              <w:t xml:space="preserve">Podstawą realizacji współpracy </w:t>
            </w:r>
            <w:r w:rsidR="00E45165">
              <w:rPr>
                <w:color w:val="auto"/>
                <w:szCs w:val="24"/>
              </w:rPr>
              <w:t>OSD</w:t>
            </w:r>
            <w:r>
              <w:rPr>
                <w:color w:val="auto"/>
                <w:szCs w:val="24"/>
              </w:rPr>
              <w:t xml:space="preserve"> z OP-</w:t>
            </w:r>
            <w:proofErr w:type="spellStart"/>
            <w:r>
              <w:rPr>
                <w:color w:val="auto"/>
                <w:szCs w:val="24"/>
              </w:rPr>
              <w:t>OSDp</w:t>
            </w:r>
            <w:proofErr w:type="spellEnd"/>
            <w:r>
              <w:rPr>
                <w:color w:val="auto"/>
                <w:szCs w:val="24"/>
              </w:rPr>
              <w:t xml:space="preserve"> w zakresie przekazywania danych pomiarowych do OSP</w:t>
            </w:r>
            <w:r w:rsidRPr="0064025D">
              <w:rPr>
                <w:color w:val="auto"/>
              </w:rPr>
              <w:t xml:space="preserve"> dla potrzeb rozliczeń na rynku bilansującym</w:t>
            </w:r>
            <w:r>
              <w:rPr>
                <w:color w:val="auto"/>
                <w:szCs w:val="24"/>
              </w:rPr>
              <w:t xml:space="preserve">, jest zawarcie stosownej umowy przez </w:t>
            </w:r>
            <w:r w:rsidR="00E45165">
              <w:rPr>
                <w:color w:val="auto"/>
                <w:szCs w:val="24"/>
              </w:rPr>
              <w:t>OSD</w:t>
            </w:r>
            <w:r>
              <w:rPr>
                <w:color w:val="auto"/>
                <w:szCs w:val="24"/>
              </w:rPr>
              <w:t xml:space="preserve"> z OP-</w:t>
            </w:r>
            <w:proofErr w:type="spellStart"/>
            <w:r>
              <w:rPr>
                <w:color w:val="auto"/>
                <w:szCs w:val="24"/>
              </w:rPr>
              <w:t>OSDp</w:t>
            </w:r>
            <w:proofErr w:type="spellEnd"/>
            <w:r>
              <w:rPr>
                <w:color w:val="auto"/>
                <w:szCs w:val="24"/>
              </w:rPr>
              <w:t>.</w:t>
            </w:r>
          </w:p>
        </w:tc>
      </w:tr>
      <w:tr w:rsidR="007934B6" w:rsidRPr="00F8567E" w:rsidTr="00F021B9">
        <w:tc>
          <w:tcPr>
            <w:tcW w:w="1063" w:type="dxa"/>
          </w:tcPr>
          <w:p w:rsidR="007934B6" w:rsidRDefault="007934B6" w:rsidP="007934B6">
            <w:pPr>
              <w:pStyle w:val="styl0"/>
              <w:spacing w:before="120"/>
            </w:pPr>
            <w:r>
              <w:t>A.6.2.</w:t>
            </w:r>
          </w:p>
        </w:tc>
        <w:tc>
          <w:tcPr>
            <w:tcW w:w="8147" w:type="dxa"/>
          </w:tcPr>
          <w:p w:rsidR="007934B6" w:rsidRPr="00571BB8" w:rsidRDefault="007934B6" w:rsidP="007934B6">
            <w:pPr>
              <w:tabs>
                <w:tab w:val="clear" w:pos="4536"/>
                <w:tab w:val="clear" w:pos="9072"/>
              </w:tabs>
              <w:autoSpaceDE w:val="0"/>
              <w:autoSpaceDN w:val="0"/>
              <w:adjustRightInd w:val="0"/>
              <w:ind w:firstLine="0"/>
              <w:rPr>
                <w:color w:val="auto"/>
                <w:szCs w:val="24"/>
              </w:rPr>
            </w:pPr>
            <w:r>
              <w:rPr>
                <w:color w:val="auto"/>
              </w:rPr>
              <w:t xml:space="preserve">W celu umożliwienia realizacji wymiany danych, </w:t>
            </w:r>
            <w:r w:rsidR="00E45165">
              <w:rPr>
                <w:color w:val="auto"/>
              </w:rPr>
              <w:t>OSD</w:t>
            </w:r>
            <w:r>
              <w:rPr>
                <w:color w:val="auto"/>
              </w:rPr>
              <w:t xml:space="preserve"> musi </w:t>
            </w:r>
            <w:r>
              <w:rPr>
                <w:color w:val="auto"/>
                <w:szCs w:val="24"/>
              </w:rPr>
              <w:t>p</w:t>
            </w:r>
            <w:r w:rsidRPr="00571BB8">
              <w:rPr>
                <w:color w:val="auto"/>
                <w:szCs w:val="24"/>
              </w:rPr>
              <w:t>osiadać</w:t>
            </w:r>
            <w:r>
              <w:rPr>
                <w:color w:val="auto"/>
                <w:szCs w:val="24"/>
              </w:rPr>
              <w:t>, na dzień rozpoczęcia realizacji umowy, o której mowa w pkt. A.6.1.,</w:t>
            </w:r>
            <w:r w:rsidRPr="00571BB8">
              <w:rPr>
                <w:color w:val="auto"/>
                <w:szCs w:val="24"/>
              </w:rPr>
              <w:t xml:space="preserve"> </w:t>
            </w:r>
            <w:r>
              <w:rPr>
                <w:color w:val="auto"/>
                <w:szCs w:val="24"/>
              </w:rPr>
              <w:t>układy pomiarowo-rozliczeniowe służące do rozliczeń z OP-</w:t>
            </w:r>
            <w:proofErr w:type="spellStart"/>
            <w:r>
              <w:rPr>
                <w:color w:val="auto"/>
                <w:szCs w:val="24"/>
              </w:rPr>
              <w:t>OSDp</w:t>
            </w:r>
            <w:proofErr w:type="spellEnd"/>
            <w:r>
              <w:rPr>
                <w:color w:val="auto"/>
                <w:szCs w:val="24"/>
              </w:rPr>
              <w:t xml:space="preserve">, dostosowane do wymagań </w:t>
            </w:r>
            <w:r w:rsidRPr="00F8567E">
              <w:t xml:space="preserve">w </w:t>
            </w:r>
            <w:r>
              <w:t>rozporządzenia</w:t>
            </w:r>
            <w:r w:rsidRPr="00F8567E">
              <w:t xml:space="preserve"> Ministra Gospodarki w sprawie szczegółowych warunków funkcjonowania systemu elektroenergetycznego</w:t>
            </w:r>
            <w:r>
              <w:rPr>
                <w:color w:val="auto"/>
                <w:szCs w:val="24"/>
              </w:rPr>
              <w:t xml:space="preserve"> oraz niniejszej </w:t>
            </w:r>
            <w:proofErr w:type="spellStart"/>
            <w:r>
              <w:rPr>
                <w:color w:val="auto"/>
                <w:szCs w:val="24"/>
              </w:rPr>
              <w:t>IRiESD</w:t>
            </w:r>
            <w:proofErr w:type="spellEnd"/>
            <w:r>
              <w:rPr>
                <w:color w:val="auto"/>
                <w:szCs w:val="24"/>
              </w:rPr>
              <w:t>,</w:t>
            </w:r>
          </w:p>
        </w:tc>
      </w:tr>
      <w:tr w:rsidR="007934B6" w:rsidRPr="00F8567E" w:rsidTr="00F021B9">
        <w:tc>
          <w:tcPr>
            <w:tcW w:w="1063" w:type="dxa"/>
          </w:tcPr>
          <w:p w:rsidR="007934B6" w:rsidRDefault="007934B6" w:rsidP="007934B6">
            <w:pPr>
              <w:pStyle w:val="styl0"/>
              <w:spacing w:before="120"/>
            </w:pPr>
            <w:r>
              <w:t>A.6.3.</w:t>
            </w:r>
          </w:p>
        </w:tc>
        <w:tc>
          <w:tcPr>
            <w:tcW w:w="8147" w:type="dxa"/>
          </w:tcPr>
          <w:p w:rsidR="007934B6" w:rsidRPr="007F7AF9" w:rsidRDefault="007934B6" w:rsidP="007934B6">
            <w:pPr>
              <w:pStyle w:val="Tekstpodstawowy"/>
              <w:tabs>
                <w:tab w:val="clear" w:pos="4536"/>
                <w:tab w:val="clear" w:pos="9072"/>
              </w:tabs>
              <w:spacing w:line="240" w:lineRule="auto"/>
              <w:rPr>
                <w:color w:val="auto"/>
                <w:szCs w:val="24"/>
              </w:rPr>
            </w:pPr>
            <w:r>
              <w:rPr>
                <w:color w:val="auto"/>
                <w:szCs w:val="24"/>
              </w:rPr>
              <w:t>W ramach zawartej umowy z OP-</w:t>
            </w:r>
            <w:proofErr w:type="spellStart"/>
            <w:r>
              <w:rPr>
                <w:color w:val="auto"/>
                <w:szCs w:val="24"/>
              </w:rPr>
              <w:t>OSDp</w:t>
            </w:r>
            <w:proofErr w:type="spellEnd"/>
            <w:r>
              <w:rPr>
                <w:color w:val="auto"/>
                <w:szCs w:val="24"/>
              </w:rPr>
              <w:t xml:space="preserve">, </w:t>
            </w:r>
            <w:r w:rsidR="00E45165">
              <w:rPr>
                <w:color w:val="auto"/>
                <w:szCs w:val="24"/>
              </w:rPr>
              <w:t>OSD</w:t>
            </w:r>
            <w:r w:rsidRPr="007F7AF9">
              <w:rPr>
                <w:color w:val="auto"/>
                <w:szCs w:val="24"/>
              </w:rPr>
              <w:t xml:space="preserve"> </w:t>
            </w:r>
            <w:r>
              <w:rPr>
                <w:color w:val="auto"/>
                <w:szCs w:val="24"/>
              </w:rPr>
              <w:t>jest z</w:t>
            </w:r>
            <w:r w:rsidRPr="007F7AF9">
              <w:rPr>
                <w:color w:val="auto"/>
                <w:szCs w:val="24"/>
              </w:rPr>
              <w:t>obowiąz</w:t>
            </w:r>
            <w:r>
              <w:rPr>
                <w:color w:val="auto"/>
                <w:szCs w:val="24"/>
              </w:rPr>
              <w:t>any w</w:t>
            </w:r>
            <w:r w:rsidRPr="007F7AF9">
              <w:rPr>
                <w:color w:val="auto"/>
                <w:szCs w:val="24"/>
              </w:rPr>
              <w:t xml:space="preserve"> szczególności do:</w:t>
            </w:r>
          </w:p>
          <w:p w:rsidR="007934B6" w:rsidRPr="007F7AF9" w:rsidRDefault="007934B6" w:rsidP="007934B6">
            <w:pPr>
              <w:numPr>
                <w:ilvl w:val="0"/>
                <w:numId w:val="27"/>
              </w:numPr>
              <w:tabs>
                <w:tab w:val="clear" w:pos="4536"/>
                <w:tab w:val="clear" w:pos="9072"/>
              </w:tabs>
              <w:autoSpaceDE w:val="0"/>
              <w:autoSpaceDN w:val="0"/>
              <w:adjustRightInd w:val="0"/>
              <w:rPr>
                <w:color w:val="auto"/>
                <w:szCs w:val="24"/>
              </w:rPr>
            </w:pPr>
            <w:r w:rsidRPr="007F7AF9">
              <w:rPr>
                <w:color w:val="auto"/>
                <w:szCs w:val="24"/>
              </w:rPr>
              <w:t xml:space="preserve">pozyskiwania danych pomiarowych z układów pomiarowo-rozliczeniowych URD, zgodnie z </w:t>
            </w:r>
            <w:proofErr w:type="spellStart"/>
            <w:r w:rsidRPr="007F7AF9">
              <w:rPr>
                <w:color w:val="auto"/>
                <w:szCs w:val="24"/>
              </w:rPr>
              <w:t>IRiESD</w:t>
            </w:r>
            <w:proofErr w:type="spellEnd"/>
            <w:r>
              <w:rPr>
                <w:color w:val="auto"/>
                <w:szCs w:val="24"/>
              </w:rPr>
              <w:t>,</w:t>
            </w:r>
          </w:p>
          <w:p w:rsidR="007934B6" w:rsidRPr="007F7AF9" w:rsidRDefault="007934B6" w:rsidP="007934B6">
            <w:pPr>
              <w:numPr>
                <w:ilvl w:val="0"/>
                <w:numId w:val="27"/>
              </w:numPr>
              <w:tabs>
                <w:tab w:val="clear" w:pos="4536"/>
                <w:tab w:val="clear" w:pos="9072"/>
              </w:tabs>
              <w:autoSpaceDE w:val="0"/>
              <w:autoSpaceDN w:val="0"/>
              <w:adjustRightInd w:val="0"/>
              <w:rPr>
                <w:color w:val="auto"/>
                <w:szCs w:val="24"/>
              </w:rPr>
            </w:pPr>
            <w:r w:rsidRPr="007F7AF9">
              <w:rPr>
                <w:color w:val="auto"/>
                <w:szCs w:val="24"/>
              </w:rPr>
              <w:t xml:space="preserve">dostarczania </w:t>
            </w:r>
            <w:r>
              <w:rPr>
                <w:color w:val="auto"/>
                <w:szCs w:val="24"/>
              </w:rPr>
              <w:t>do OP-</w:t>
            </w:r>
            <w:proofErr w:type="spellStart"/>
            <w:r w:rsidRPr="007F7AF9">
              <w:rPr>
                <w:color w:val="auto"/>
                <w:szCs w:val="24"/>
              </w:rPr>
              <w:t>OSD</w:t>
            </w:r>
            <w:r>
              <w:rPr>
                <w:color w:val="auto"/>
                <w:szCs w:val="24"/>
              </w:rPr>
              <w:t>p</w:t>
            </w:r>
            <w:proofErr w:type="spellEnd"/>
            <w:r w:rsidRPr="007F7AF9">
              <w:rPr>
                <w:color w:val="auto"/>
                <w:szCs w:val="24"/>
              </w:rPr>
              <w:t xml:space="preserve"> danych pomiarowych, o których mowa w </w:t>
            </w:r>
            <w:proofErr w:type="spellStart"/>
            <w:r>
              <w:rPr>
                <w:color w:val="auto"/>
                <w:szCs w:val="24"/>
              </w:rPr>
              <w:t>p</w:t>
            </w:r>
            <w:r w:rsidRPr="007F7AF9">
              <w:rPr>
                <w:color w:val="auto"/>
                <w:szCs w:val="24"/>
              </w:rPr>
              <w:t>pkt</w:t>
            </w:r>
            <w:proofErr w:type="spellEnd"/>
            <w:r w:rsidRPr="007F7AF9">
              <w:rPr>
                <w:color w:val="auto"/>
                <w:szCs w:val="24"/>
              </w:rPr>
              <w:t xml:space="preserve">. </w:t>
            </w:r>
            <w:r>
              <w:rPr>
                <w:color w:val="auto"/>
                <w:szCs w:val="24"/>
              </w:rPr>
              <w:t>a</w:t>
            </w:r>
            <w:r w:rsidRPr="007F7AF9">
              <w:rPr>
                <w:color w:val="auto"/>
                <w:szCs w:val="24"/>
              </w:rPr>
              <w:t xml:space="preserve">),  stanowiących rzeczywistą ilość energii elektrycznej pobranej z sieci </w:t>
            </w:r>
            <w:r w:rsidR="00E45165">
              <w:rPr>
                <w:color w:val="auto"/>
                <w:szCs w:val="24"/>
              </w:rPr>
              <w:t>OSD</w:t>
            </w:r>
            <w:r w:rsidRPr="007F7AF9">
              <w:rPr>
                <w:color w:val="auto"/>
                <w:szCs w:val="24"/>
              </w:rPr>
              <w:t xml:space="preserve"> lub oddanej do sieci </w:t>
            </w:r>
            <w:r w:rsidR="00E45165">
              <w:rPr>
                <w:color w:val="auto"/>
                <w:szCs w:val="24"/>
              </w:rPr>
              <w:t>OSD</w:t>
            </w:r>
            <w:r w:rsidRPr="007F7AF9">
              <w:rPr>
                <w:color w:val="auto"/>
                <w:szCs w:val="24"/>
              </w:rPr>
              <w:t>, zmierzonej przez układy pomiarowo-rozliczeniowe w miejscach dostarczenia URD na każdą godzinę doby handlowej</w:t>
            </w:r>
            <w:r>
              <w:rPr>
                <w:color w:val="auto"/>
                <w:szCs w:val="24"/>
              </w:rPr>
              <w:t>, w podziale na sprzedawców, zagregowane na POB,</w:t>
            </w:r>
          </w:p>
          <w:p w:rsidR="007934B6" w:rsidRPr="007F7AF9" w:rsidRDefault="007934B6" w:rsidP="007934B6">
            <w:pPr>
              <w:numPr>
                <w:ilvl w:val="0"/>
                <w:numId w:val="27"/>
              </w:numPr>
              <w:tabs>
                <w:tab w:val="clear" w:pos="4536"/>
                <w:tab w:val="clear" w:pos="9072"/>
              </w:tabs>
              <w:autoSpaceDE w:val="0"/>
              <w:autoSpaceDN w:val="0"/>
              <w:adjustRightInd w:val="0"/>
              <w:rPr>
                <w:color w:val="auto"/>
                <w:szCs w:val="24"/>
              </w:rPr>
            </w:pPr>
            <w:r w:rsidRPr="007F7AF9">
              <w:rPr>
                <w:color w:val="auto"/>
                <w:szCs w:val="24"/>
              </w:rPr>
              <w:t xml:space="preserve">przekazywania </w:t>
            </w:r>
            <w:r>
              <w:rPr>
                <w:color w:val="auto"/>
                <w:szCs w:val="24"/>
              </w:rPr>
              <w:t>do OP-</w:t>
            </w:r>
            <w:proofErr w:type="spellStart"/>
            <w:r w:rsidRPr="007F7AF9">
              <w:rPr>
                <w:color w:val="auto"/>
                <w:szCs w:val="24"/>
              </w:rPr>
              <w:t>OSD</w:t>
            </w:r>
            <w:r>
              <w:rPr>
                <w:color w:val="auto"/>
                <w:szCs w:val="24"/>
              </w:rPr>
              <w:t>p</w:t>
            </w:r>
            <w:proofErr w:type="spellEnd"/>
            <w:r w:rsidRPr="007F7AF9">
              <w:rPr>
                <w:color w:val="auto"/>
                <w:szCs w:val="24"/>
              </w:rPr>
              <w:t xml:space="preserve"> skorygowanych danych pomiarowych URD w celu ich przesłania do OSP w tryb</w:t>
            </w:r>
            <w:r>
              <w:rPr>
                <w:color w:val="auto"/>
                <w:szCs w:val="24"/>
              </w:rPr>
              <w:t>ie</w:t>
            </w:r>
            <w:r w:rsidRPr="007F7AF9">
              <w:rPr>
                <w:color w:val="auto"/>
                <w:szCs w:val="24"/>
              </w:rPr>
              <w:t xml:space="preserve"> korekty obowiązując</w:t>
            </w:r>
            <w:r>
              <w:rPr>
                <w:color w:val="auto"/>
                <w:szCs w:val="24"/>
              </w:rPr>
              <w:t>ej</w:t>
            </w:r>
            <w:r w:rsidRPr="007F7AF9">
              <w:rPr>
                <w:color w:val="auto"/>
                <w:szCs w:val="24"/>
              </w:rPr>
              <w:t xml:space="preserve"> na Rynku Bilansującym</w:t>
            </w:r>
            <w:r>
              <w:rPr>
                <w:color w:val="auto"/>
                <w:szCs w:val="24"/>
              </w:rPr>
              <w:t xml:space="preserve"> zgodnie z </w:t>
            </w:r>
            <w:proofErr w:type="spellStart"/>
            <w:r>
              <w:rPr>
                <w:color w:val="auto"/>
                <w:szCs w:val="24"/>
              </w:rPr>
              <w:t>IRiESP</w:t>
            </w:r>
            <w:proofErr w:type="spellEnd"/>
            <w:r>
              <w:rPr>
                <w:color w:val="auto"/>
                <w:szCs w:val="24"/>
              </w:rPr>
              <w:t>,</w:t>
            </w:r>
          </w:p>
          <w:p w:rsidR="007934B6" w:rsidRPr="007F7AF9" w:rsidRDefault="007934B6" w:rsidP="007934B6">
            <w:pPr>
              <w:numPr>
                <w:ilvl w:val="0"/>
                <w:numId w:val="27"/>
              </w:numPr>
              <w:tabs>
                <w:tab w:val="clear" w:pos="4536"/>
                <w:tab w:val="clear" w:pos="9072"/>
              </w:tabs>
              <w:autoSpaceDE w:val="0"/>
              <w:autoSpaceDN w:val="0"/>
              <w:adjustRightInd w:val="0"/>
              <w:rPr>
                <w:color w:val="auto"/>
                <w:szCs w:val="24"/>
              </w:rPr>
            </w:pPr>
            <w:r w:rsidRPr="007F7AF9">
              <w:rPr>
                <w:color w:val="auto"/>
                <w:szCs w:val="24"/>
              </w:rPr>
              <w:lastRenderedPageBreak/>
              <w:t xml:space="preserve">niezwłocznego przekazywania </w:t>
            </w:r>
            <w:r>
              <w:rPr>
                <w:color w:val="auto"/>
                <w:szCs w:val="24"/>
              </w:rPr>
              <w:t>OP-</w:t>
            </w:r>
            <w:proofErr w:type="spellStart"/>
            <w:r w:rsidRPr="007F7AF9">
              <w:rPr>
                <w:color w:val="auto"/>
                <w:szCs w:val="24"/>
              </w:rPr>
              <w:t>OSD</w:t>
            </w:r>
            <w:r>
              <w:rPr>
                <w:color w:val="auto"/>
                <w:szCs w:val="24"/>
              </w:rPr>
              <w:t>p</w:t>
            </w:r>
            <w:proofErr w:type="spellEnd"/>
            <w:r w:rsidRPr="007F7AF9">
              <w:rPr>
                <w:color w:val="auto"/>
                <w:szCs w:val="24"/>
              </w:rPr>
              <w:t xml:space="preserve"> informacji o wstrzymaniu lub zaprzestaniu świadczenia przez </w:t>
            </w:r>
            <w:r w:rsidR="00E45165">
              <w:rPr>
                <w:color w:val="auto"/>
                <w:szCs w:val="24"/>
              </w:rPr>
              <w:t>OSD</w:t>
            </w:r>
            <w:r>
              <w:rPr>
                <w:color w:val="auto"/>
                <w:szCs w:val="24"/>
              </w:rPr>
              <w:t xml:space="preserve"> </w:t>
            </w:r>
            <w:r w:rsidRPr="007F7AF9">
              <w:rPr>
                <w:color w:val="auto"/>
                <w:szCs w:val="24"/>
              </w:rPr>
              <w:t>usług dystrybucji energii elektrycznej</w:t>
            </w:r>
            <w:r>
              <w:rPr>
                <w:color w:val="auto"/>
                <w:szCs w:val="24"/>
              </w:rPr>
              <w:t xml:space="preserve"> dla</w:t>
            </w:r>
            <w:r w:rsidRPr="007F7AF9">
              <w:rPr>
                <w:color w:val="auto"/>
                <w:szCs w:val="24"/>
              </w:rPr>
              <w:t xml:space="preserve"> </w:t>
            </w:r>
            <w:r>
              <w:rPr>
                <w:color w:val="auto"/>
                <w:szCs w:val="24"/>
              </w:rPr>
              <w:t>POB</w:t>
            </w:r>
            <w:r w:rsidRPr="007F7AF9">
              <w:rPr>
                <w:color w:val="auto"/>
                <w:szCs w:val="24"/>
              </w:rPr>
              <w:t xml:space="preserve"> </w:t>
            </w:r>
            <w:r>
              <w:rPr>
                <w:color w:val="auto"/>
                <w:szCs w:val="24"/>
              </w:rPr>
              <w:t>i Sprzedawcy,</w:t>
            </w:r>
          </w:p>
          <w:p w:rsidR="007934B6" w:rsidRPr="00467632" w:rsidRDefault="007934B6" w:rsidP="007934B6">
            <w:pPr>
              <w:numPr>
                <w:ilvl w:val="0"/>
                <w:numId w:val="27"/>
              </w:numPr>
              <w:tabs>
                <w:tab w:val="clear" w:pos="4536"/>
                <w:tab w:val="clear" w:pos="9072"/>
              </w:tabs>
              <w:autoSpaceDE w:val="0"/>
              <w:autoSpaceDN w:val="0"/>
              <w:adjustRightInd w:val="0"/>
              <w:rPr>
                <w:color w:val="auto"/>
                <w:szCs w:val="24"/>
              </w:rPr>
            </w:pPr>
            <w:r w:rsidRPr="007F7AF9">
              <w:rPr>
                <w:color w:val="auto"/>
                <w:szCs w:val="24"/>
              </w:rPr>
              <w:t xml:space="preserve">niezwłocznego informowania </w:t>
            </w:r>
            <w:r>
              <w:rPr>
                <w:color w:val="auto"/>
                <w:szCs w:val="24"/>
              </w:rPr>
              <w:t>OP-</w:t>
            </w:r>
            <w:proofErr w:type="spellStart"/>
            <w:r w:rsidRPr="007F7AF9">
              <w:rPr>
                <w:color w:val="auto"/>
                <w:szCs w:val="24"/>
              </w:rPr>
              <w:t>OSD</w:t>
            </w:r>
            <w:r>
              <w:rPr>
                <w:color w:val="auto"/>
                <w:szCs w:val="24"/>
              </w:rPr>
              <w:t>p</w:t>
            </w:r>
            <w:proofErr w:type="spellEnd"/>
            <w:r w:rsidRPr="007F7AF9">
              <w:rPr>
                <w:color w:val="auto"/>
                <w:szCs w:val="24"/>
              </w:rPr>
              <w:t xml:space="preserve"> o okolicznościach mających wpływ </w:t>
            </w:r>
            <w:r>
              <w:rPr>
                <w:color w:val="auto"/>
                <w:szCs w:val="24"/>
              </w:rPr>
              <w:t>na prawidłowość przekazywanych danych pomiarowych,</w:t>
            </w:r>
          </w:p>
        </w:tc>
      </w:tr>
      <w:tr w:rsidR="007934B6" w:rsidRPr="00F8567E" w:rsidTr="00F021B9">
        <w:tc>
          <w:tcPr>
            <w:tcW w:w="1063" w:type="dxa"/>
          </w:tcPr>
          <w:p w:rsidR="007934B6" w:rsidRDefault="007934B6" w:rsidP="007934B6">
            <w:pPr>
              <w:pStyle w:val="styl0"/>
              <w:spacing w:before="120"/>
            </w:pPr>
            <w:r>
              <w:lastRenderedPageBreak/>
              <w:t>A.6.4.</w:t>
            </w:r>
          </w:p>
        </w:tc>
        <w:tc>
          <w:tcPr>
            <w:tcW w:w="8147" w:type="dxa"/>
          </w:tcPr>
          <w:p w:rsidR="007934B6" w:rsidRDefault="007934B6" w:rsidP="007934B6">
            <w:pPr>
              <w:pStyle w:val="Tekstpodstawowy"/>
              <w:tabs>
                <w:tab w:val="clear" w:pos="4536"/>
                <w:tab w:val="clear" w:pos="9072"/>
              </w:tabs>
              <w:spacing w:line="240" w:lineRule="auto"/>
            </w:pPr>
            <w:r>
              <w:rPr>
                <w:color w:val="auto"/>
              </w:rPr>
              <w:t xml:space="preserve">Przekazywanie danych przez </w:t>
            </w:r>
            <w:r w:rsidR="00E45165">
              <w:rPr>
                <w:color w:val="auto"/>
              </w:rPr>
              <w:t>OSD</w:t>
            </w:r>
            <w:r>
              <w:rPr>
                <w:color w:val="auto"/>
              </w:rPr>
              <w:t xml:space="preserve"> do OP-</w:t>
            </w:r>
            <w:proofErr w:type="spellStart"/>
            <w:r>
              <w:rPr>
                <w:color w:val="auto"/>
              </w:rPr>
              <w:t>OSDp</w:t>
            </w:r>
            <w:proofErr w:type="spellEnd"/>
            <w:r>
              <w:rPr>
                <w:color w:val="auto"/>
              </w:rPr>
              <w:t xml:space="preserve"> obejmuje </w:t>
            </w:r>
            <w:r w:rsidRPr="00E44B6E">
              <w:t>przekazywanie zagregowanych danych pomiarowych URD</w:t>
            </w:r>
            <w:r>
              <w:t>,</w:t>
            </w:r>
            <w:r w:rsidRPr="00E44B6E">
              <w:t xml:space="preserve"> przyłączonych do sieci </w:t>
            </w:r>
            <w:r w:rsidR="00E45165">
              <w:t>OSD</w:t>
            </w:r>
            <w:r w:rsidRPr="00E44B6E">
              <w:t xml:space="preserve"> nie objętej obszarem Rynku Bilansującego</w:t>
            </w:r>
            <w:r>
              <w:t xml:space="preserve"> w podziale na</w:t>
            </w:r>
            <w:r w:rsidRPr="00E44B6E">
              <w:t>:</w:t>
            </w:r>
          </w:p>
          <w:p w:rsidR="007934B6" w:rsidRDefault="007934B6" w:rsidP="007934B6">
            <w:pPr>
              <w:numPr>
                <w:ilvl w:val="0"/>
                <w:numId w:val="26"/>
              </w:numPr>
              <w:tabs>
                <w:tab w:val="clear" w:pos="4536"/>
                <w:tab w:val="clear" w:pos="9072"/>
              </w:tabs>
              <w:autoSpaceDE w:val="0"/>
              <w:autoSpaceDN w:val="0"/>
              <w:adjustRightInd w:val="0"/>
              <w:rPr>
                <w:color w:val="auto"/>
                <w:szCs w:val="24"/>
              </w:rPr>
            </w:pPr>
            <w:r w:rsidRPr="00505BE8">
              <w:rPr>
                <w:color w:val="auto"/>
                <w:szCs w:val="24"/>
              </w:rPr>
              <w:t>POB wskazanego przez Sprzedawcę wybranego przez URD typu odbiorca,</w:t>
            </w:r>
          </w:p>
          <w:p w:rsidR="007934B6" w:rsidRPr="00E44B6E" w:rsidRDefault="007934B6" w:rsidP="007934B6">
            <w:pPr>
              <w:numPr>
                <w:ilvl w:val="0"/>
                <w:numId w:val="26"/>
              </w:numPr>
              <w:tabs>
                <w:tab w:val="clear" w:pos="4536"/>
                <w:tab w:val="clear" w:pos="9072"/>
              </w:tabs>
              <w:autoSpaceDE w:val="0"/>
              <w:autoSpaceDN w:val="0"/>
              <w:adjustRightInd w:val="0"/>
              <w:rPr>
                <w:color w:val="auto"/>
                <w:szCs w:val="24"/>
              </w:rPr>
            </w:pPr>
            <w:r w:rsidRPr="00505BE8">
              <w:rPr>
                <w:color w:val="auto"/>
                <w:szCs w:val="24"/>
              </w:rPr>
              <w:t>POB wskazanego bezpośrednio przez URD typu wytwórca</w:t>
            </w:r>
            <w:r>
              <w:rPr>
                <w:color w:val="auto"/>
                <w:szCs w:val="24"/>
              </w:rPr>
              <w:t>.</w:t>
            </w:r>
          </w:p>
        </w:tc>
      </w:tr>
      <w:tr w:rsidR="007934B6" w:rsidRPr="00F8567E" w:rsidTr="00F021B9">
        <w:tc>
          <w:tcPr>
            <w:tcW w:w="1063" w:type="dxa"/>
          </w:tcPr>
          <w:p w:rsidR="007934B6" w:rsidRDefault="007934B6" w:rsidP="007934B6">
            <w:pPr>
              <w:pStyle w:val="styl0"/>
              <w:spacing w:before="120"/>
            </w:pPr>
            <w:r>
              <w:t>A.6.5.</w:t>
            </w:r>
          </w:p>
        </w:tc>
        <w:tc>
          <w:tcPr>
            <w:tcW w:w="8147" w:type="dxa"/>
          </w:tcPr>
          <w:p w:rsidR="007934B6" w:rsidRPr="00571BB8" w:rsidRDefault="00E45165" w:rsidP="007934B6">
            <w:pPr>
              <w:pStyle w:val="Tekstpodstawowy"/>
              <w:tabs>
                <w:tab w:val="clear" w:pos="4536"/>
                <w:tab w:val="clear" w:pos="9072"/>
              </w:tabs>
              <w:spacing w:line="240" w:lineRule="auto"/>
              <w:rPr>
                <w:color w:val="auto"/>
                <w:szCs w:val="24"/>
              </w:rPr>
            </w:pPr>
            <w:r>
              <w:rPr>
                <w:color w:val="auto"/>
                <w:szCs w:val="24"/>
              </w:rPr>
              <w:t>OSD</w:t>
            </w:r>
            <w:r w:rsidR="007934B6" w:rsidRPr="007F7AF9">
              <w:rPr>
                <w:color w:val="auto"/>
                <w:szCs w:val="24"/>
              </w:rPr>
              <w:t xml:space="preserve"> jest odpowiedzialny za poprawność pozyskanych danych pomiarowych z układó</w:t>
            </w:r>
            <w:r w:rsidR="007934B6">
              <w:rPr>
                <w:color w:val="auto"/>
                <w:szCs w:val="24"/>
              </w:rPr>
              <w:t>w pomiarowo-rozliczeniowych URD.</w:t>
            </w:r>
          </w:p>
        </w:tc>
      </w:tr>
      <w:tr w:rsidR="007934B6" w:rsidRPr="00F8567E" w:rsidTr="00F021B9">
        <w:tc>
          <w:tcPr>
            <w:tcW w:w="1063" w:type="dxa"/>
          </w:tcPr>
          <w:p w:rsidR="007934B6" w:rsidRDefault="007934B6" w:rsidP="007934B6">
            <w:pPr>
              <w:pStyle w:val="styl0"/>
              <w:spacing w:before="120"/>
            </w:pPr>
            <w:r>
              <w:t>A.6.6.</w:t>
            </w:r>
          </w:p>
        </w:tc>
        <w:tc>
          <w:tcPr>
            <w:tcW w:w="8147" w:type="dxa"/>
          </w:tcPr>
          <w:p w:rsidR="007934B6" w:rsidRPr="00571BB8" w:rsidRDefault="007934B6" w:rsidP="007934B6">
            <w:pPr>
              <w:pStyle w:val="Tekstpodstawowy"/>
              <w:tabs>
                <w:tab w:val="clear" w:pos="4536"/>
                <w:tab w:val="clear" w:pos="9072"/>
              </w:tabs>
              <w:spacing w:line="240" w:lineRule="auto"/>
              <w:rPr>
                <w:color w:val="auto"/>
                <w:szCs w:val="24"/>
              </w:rPr>
            </w:pPr>
            <w:r w:rsidRPr="003437EC">
              <w:rPr>
                <w:color w:val="auto"/>
                <w:szCs w:val="24"/>
              </w:rPr>
              <w:t>Zawieszenie lub zaprzestanie, niezależnie od przyczyny, działalności na Rynku Bilansującym przez POB prowadzący</w:t>
            </w:r>
            <w:r>
              <w:rPr>
                <w:color w:val="auto"/>
                <w:szCs w:val="24"/>
              </w:rPr>
              <w:t>m</w:t>
            </w:r>
            <w:r w:rsidRPr="003437EC">
              <w:rPr>
                <w:color w:val="auto"/>
                <w:szCs w:val="24"/>
              </w:rPr>
              <w:t xml:space="preserve"> bilansowanie handlowe w obszarze sieci </w:t>
            </w:r>
            <w:r w:rsidR="00E45165">
              <w:rPr>
                <w:color w:val="auto"/>
                <w:szCs w:val="24"/>
              </w:rPr>
              <w:t>OSD</w:t>
            </w:r>
            <w:r w:rsidRPr="003437EC">
              <w:rPr>
                <w:color w:val="auto"/>
                <w:szCs w:val="24"/>
              </w:rPr>
              <w:t xml:space="preserve">, będzie skutkować zaprzestaniem przekazywania przez </w:t>
            </w:r>
            <w:r w:rsidR="00E45165">
              <w:rPr>
                <w:color w:val="auto"/>
                <w:szCs w:val="24"/>
              </w:rPr>
              <w:t>OSD</w:t>
            </w:r>
            <w:r w:rsidRPr="003437EC">
              <w:rPr>
                <w:color w:val="auto"/>
                <w:szCs w:val="24"/>
              </w:rPr>
              <w:t xml:space="preserve"> danych pomiarowych </w:t>
            </w:r>
            <w:r>
              <w:rPr>
                <w:color w:val="auto"/>
                <w:szCs w:val="24"/>
              </w:rPr>
              <w:t>do OP-</w:t>
            </w:r>
            <w:proofErr w:type="spellStart"/>
            <w:r>
              <w:rPr>
                <w:color w:val="auto"/>
                <w:szCs w:val="24"/>
              </w:rPr>
              <w:t>OSDp</w:t>
            </w:r>
            <w:proofErr w:type="spellEnd"/>
            <w:r>
              <w:rPr>
                <w:color w:val="auto"/>
                <w:szCs w:val="24"/>
              </w:rPr>
              <w:t xml:space="preserve"> oraz nastąpi rezerwowa sprzedaż lub zakup energii elektrycznej przez sprzedawcę rezerwowego lub sprzedawcę z urzędu.</w:t>
            </w:r>
            <w:r w:rsidRPr="003437EC">
              <w:rPr>
                <w:color w:val="auto"/>
                <w:szCs w:val="24"/>
              </w:rPr>
              <w:t xml:space="preserve"> </w:t>
            </w:r>
          </w:p>
        </w:tc>
      </w:tr>
      <w:tr w:rsidR="006B16BC" w:rsidRPr="00F8567E" w:rsidTr="00F021B9">
        <w:tc>
          <w:tcPr>
            <w:tcW w:w="1063" w:type="dxa"/>
          </w:tcPr>
          <w:p w:rsidR="006B16BC" w:rsidRDefault="006B16BC" w:rsidP="00571C2B">
            <w:pPr>
              <w:pStyle w:val="styl0"/>
              <w:spacing w:before="120"/>
            </w:pPr>
          </w:p>
          <w:p w:rsidR="006B16BC" w:rsidRDefault="006B16BC" w:rsidP="00571C2B">
            <w:pPr>
              <w:pStyle w:val="styl0"/>
              <w:spacing w:before="120"/>
            </w:pPr>
            <w:r>
              <w:t>A.7.</w:t>
            </w:r>
          </w:p>
        </w:tc>
        <w:tc>
          <w:tcPr>
            <w:tcW w:w="8147" w:type="dxa"/>
          </w:tcPr>
          <w:p w:rsidR="006B16BC" w:rsidRDefault="006B16BC" w:rsidP="00571C2B">
            <w:pPr>
              <w:pStyle w:val="Tekstpodstawowy"/>
              <w:tabs>
                <w:tab w:val="clear" w:pos="4536"/>
                <w:tab w:val="clear" w:pos="9072"/>
              </w:tabs>
              <w:spacing w:line="240" w:lineRule="auto"/>
              <w:rPr>
                <w:color w:val="auto"/>
                <w:szCs w:val="24"/>
              </w:rPr>
            </w:pPr>
          </w:p>
          <w:p w:rsidR="006B16BC" w:rsidRPr="00695B10" w:rsidRDefault="006B16BC" w:rsidP="00571C2B">
            <w:pPr>
              <w:pStyle w:val="Default"/>
              <w:spacing w:before="120"/>
              <w:jc w:val="both"/>
              <w:rPr>
                <w:b/>
                <w:szCs w:val="20"/>
              </w:rPr>
            </w:pPr>
            <w:r w:rsidRPr="00695B10">
              <w:rPr>
                <w:b/>
                <w:szCs w:val="20"/>
              </w:rPr>
              <w:t xml:space="preserve">ZASADY REZERWOWEJ SPRZEDAŻY ENERGII ELEKTRYCZNEJ LUB ŚWIADCZENIA REZERWOWEJ USŁUGI KOMPLEKSOWEJ </w:t>
            </w:r>
          </w:p>
          <w:p w:rsidR="006B16BC" w:rsidRPr="007D3C3F" w:rsidRDefault="006B16BC" w:rsidP="00571C2B">
            <w:pPr>
              <w:pStyle w:val="Tekstpodstawowy"/>
              <w:tabs>
                <w:tab w:val="clear" w:pos="4536"/>
                <w:tab w:val="clear" w:pos="9072"/>
              </w:tabs>
              <w:spacing w:line="240" w:lineRule="auto"/>
              <w:rPr>
                <w:color w:val="auto"/>
                <w:szCs w:val="24"/>
              </w:rPr>
            </w:pPr>
          </w:p>
        </w:tc>
      </w:tr>
      <w:tr w:rsidR="006B16BC" w:rsidRPr="00F8567E" w:rsidTr="00F021B9">
        <w:tc>
          <w:tcPr>
            <w:tcW w:w="1063" w:type="dxa"/>
          </w:tcPr>
          <w:p w:rsidR="006B16BC" w:rsidRDefault="006B16BC" w:rsidP="006B16BC">
            <w:pPr>
              <w:pStyle w:val="styl0"/>
              <w:spacing w:before="120"/>
            </w:pPr>
            <w:r>
              <w:t>A.7.1.</w:t>
            </w:r>
          </w:p>
        </w:tc>
        <w:tc>
          <w:tcPr>
            <w:tcW w:w="8147" w:type="dxa"/>
          </w:tcPr>
          <w:p w:rsidR="006B16BC" w:rsidRPr="00695B10" w:rsidRDefault="00E45165" w:rsidP="006B16BC">
            <w:pPr>
              <w:pStyle w:val="Tekstpodstawowy"/>
              <w:tabs>
                <w:tab w:val="clear" w:pos="4536"/>
                <w:tab w:val="clear" w:pos="9072"/>
              </w:tabs>
              <w:spacing w:line="240" w:lineRule="auto"/>
              <w:rPr>
                <w:color w:val="auto"/>
                <w:szCs w:val="24"/>
              </w:rPr>
            </w:pPr>
            <w:r>
              <w:rPr>
                <w:color w:val="auto"/>
                <w:szCs w:val="24"/>
              </w:rPr>
              <w:t>OSD</w:t>
            </w:r>
            <w:r w:rsidR="006B16BC" w:rsidRPr="00695B10">
              <w:rPr>
                <w:color w:val="auto"/>
                <w:szCs w:val="24"/>
              </w:rPr>
              <w:t xml:space="preserve"> zawrze w imieniu i na rzecz URD umowę rezerwowej sprzedaży energii elektrycznej lub rezerwową umowę kompleksową, jeżeli</w:t>
            </w:r>
            <w:r w:rsidR="006B16BC">
              <w:rPr>
                <w:color w:val="auto"/>
                <w:szCs w:val="24"/>
              </w:rPr>
              <w:t xml:space="preserve"> </w:t>
            </w:r>
            <w:r w:rsidR="006B16BC" w:rsidRPr="00695B10">
              <w:rPr>
                <w:color w:val="auto"/>
                <w:szCs w:val="24"/>
              </w:rPr>
              <w:t>Sprzedawca nie rozpoczął lub zaprzestał sprzedaży energii elektrycznej lub świadczenia usługi kompleksowej z następujących przyczyn:</w:t>
            </w:r>
          </w:p>
          <w:p w:rsidR="006B16BC" w:rsidRPr="00695B10" w:rsidRDefault="006B16BC" w:rsidP="006824F9">
            <w:pPr>
              <w:pStyle w:val="Tekstpodstawowy"/>
              <w:numPr>
                <w:ilvl w:val="1"/>
                <w:numId w:val="30"/>
              </w:numPr>
              <w:tabs>
                <w:tab w:val="clear" w:pos="4536"/>
                <w:tab w:val="clear" w:pos="9072"/>
              </w:tabs>
              <w:spacing w:line="240" w:lineRule="auto"/>
              <w:ind w:left="355"/>
              <w:rPr>
                <w:color w:val="auto"/>
                <w:szCs w:val="24"/>
              </w:rPr>
            </w:pPr>
            <w:r w:rsidRPr="00695B10">
              <w:rPr>
                <w:color w:val="auto"/>
                <w:szCs w:val="24"/>
              </w:rPr>
              <w:t>trwałej lub przemijającej utraty przez Sprzedawcę lub przez podmiot odpowiedzialny za bilansowanie handlowe wskazany przez Sprzedawcę możliwości działania na rynku bilansującym,</w:t>
            </w:r>
          </w:p>
          <w:p w:rsidR="006B16BC" w:rsidRPr="00695B10" w:rsidRDefault="006B16BC" w:rsidP="006824F9">
            <w:pPr>
              <w:pStyle w:val="Tekstpodstawowy"/>
              <w:numPr>
                <w:ilvl w:val="1"/>
                <w:numId w:val="30"/>
              </w:numPr>
              <w:tabs>
                <w:tab w:val="clear" w:pos="4536"/>
                <w:tab w:val="clear" w:pos="9072"/>
              </w:tabs>
              <w:spacing w:line="240" w:lineRule="auto"/>
              <w:ind w:left="355"/>
              <w:rPr>
                <w:color w:val="auto"/>
                <w:szCs w:val="24"/>
              </w:rPr>
            </w:pPr>
            <w:r w:rsidRPr="00695B10">
              <w:rPr>
                <w:color w:val="auto"/>
                <w:szCs w:val="24"/>
              </w:rPr>
              <w:t>niezgłoszenia lub nieskutecznego zgłoszenia do realizacji</w:t>
            </w:r>
            <w:r>
              <w:rPr>
                <w:color w:val="auto"/>
                <w:szCs w:val="24"/>
              </w:rPr>
              <w:t xml:space="preserve"> </w:t>
            </w:r>
            <w:r w:rsidR="00E45165">
              <w:rPr>
                <w:color w:val="auto"/>
                <w:szCs w:val="24"/>
              </w:rPr>
              <w:t>OSD</w:t>
            </w:r>
            <w:r w:rsidRPr="00695B10">
              <w:rPr>
                <w:color w:val="auto"/>
                <w:szCs w:val="24"/>
              </w:rPr>
              <w:t xml:space="preserve"> przez Sprzedawcę obowiązującej umowy sprzedaży energii elektrycznej lub umowy kompleksowej zawartej z URD,</w:t>
            </w:r>
          </w:p>
          <w:p w:rsidR="006B16BC" w:rsidRPr="00695B10" w:rsidRDefault="006B16BC" w:rsidP="006824F9">
            <w:pPr>
              <w:pStyle w:val="Tekstpodstawowy"/>
              <w:numPr>
                <w:ilvl w:val="1"/>
                <w:numId w:val="30"/>
              </w:numPr>
              <w:tabs>
                <w:tab w:val="clear" w:pos="4536"/>
                <w:tab w:val="clear" w:pos="9072"/>
              </w:tabs>
              <w:spacing w:line="240" w:lineRule="auto"/>
              <w:ind w:left="355"/>
              <w:rPr>
                <w:color w:val="auto"/>
                <w:szCs w:val="24"/>
              </w:rPr>
            </w:pPr>
            <w:r w:rsidRPr="00695B10">
              <w:rPr>
                <w:color w:val="auto"/>
                <w:szCs w:val="24"/>
              </w:rPr>
              <w:t>z innych przyczyn - z zastrzeżeniem okoliczności wskazanych w pkt. A.7.2.</w:t>
            </w:r>
          </w:p>
          <w:p w:rsidR="006B16BC" w:rsidRDefault="006B16BC" w:rsidP="006B16BC">
            <w:pPr>
              <w:pStyle w:val="Tekstpodstawowy"/>
              <w:tabs>
                <w:tab w:val="clear" w:pos="4536"/>
                <w:tab w:val="clear" w:pos="9072"/>
              </w:tabs>
              <w:spacing w:line="240" w:lineRule="auto"/>
              <w:rPr>
                <w:color w:val="auto"/>
                <w:szCs w:val="24"/>
              </w:rPr>
            </w:pPr>
            <w:r w:rsidRPr="00695B10">
              <w:rPr>
                <w:color w:val="auto"/>
                <w:szCs w:val="24"/>
              </w:rPr>
              <w:t xml:space="preserve">Rezerwowa umowa kompleksowa może być zawarta przez </w:t>
            </w:r>
            <w:r w:rsidR="00E45165">
              <w:rPr>
                <w:color w:val="auto"/>
                <w:szCs w:val="24"/>
              </w:rPr>
              <w:t>OSD</w:t>
            </w:r>
            <w:r w:rsidRPr="00695B10">
              <w:rPr>
                <w:color w:val="auto"/>
                <w:szCs w:val="24"/>
              </w:rPr>
              <w:t xml:space="preserve"> dla URD w gospodarstwach domowych przyłączonych do sieci elektroenergetycznej o napięciu do 1 </w:t>
            </w:r>
            <w:proofErr w:type="spellStart"/>
            <w:r w:rsidRPr="00695B10">
              <w:rPr>
                <w:color w:val="auto"/>
                <w:szCs w:val="24"/>
              </w:rPr>
              <w:t>kV</w:t>
            </w:r>
            <w:proofErr w:type="spellEnd"/>
            <w:r w:rsidRPr="00695B10">
              <w:rPr>
                <w:color w:val="auto"/>
                <w:szCs w:val="24"/>
              </w:rPr>
              <w:t>, którzy mają zawarte umowy kompleksowe.</w:t>
            </w:r>
          </w:p>
        </w:tc>
      </w:tr>
      <w:tr w:rsidR="006B16BC" w:rsidRPr="00F8567E" w:rsidTr="00F021B9">
        <w:tc>
          <w:tcPr>
            <w:tcW w:w="1063" w:type="dxa"/>
          </w:tcPr>
          <w:p w:rsidR="006B16BC" w:rsidRDefault="006B16BC" w:rsidP="006B16BC">
            <w:pPr>
              <w:pStyle w:val="styl0"/>
              <w:spacing w:before="120"/>
            </w:pPr>
            <w:r>
              <w:t>A.7.2.</w:t>
            </w:r>
          </w:p>
        </w:tc>
        <w:tc>
          <w:tcPr>
            <w:tcW w:w="8147" w:type="dxa"/>
          </w:tcPr>
          <w:p w:rsidR="006B16BC" w:rsidRPr="00E93F59" w:rsidRDefault="00E45165" w:rsidP="006B16BC">
            <w:pPr>
              <w:pStyle w:val="Tekstpodstawowy"/>
              <w:tabs>
                <w:tab w:val="clear" w:pos="4536"/>
                <w:tab w:val="clear" w:pos="9072"/>
              </w:tabs>
              <w:spacing w:line="240" w:lineRule="auto"/>
              <w:rPr>
                <w:color w:val="auto"/>
                <w:szCs w:val="24"/>
              </w:rPr>
            </w:pPr>
            <w:r>
              <w:rPr>
                <w:color w:val="auto"/>
                <w:szCs w:val="24"/>
              </w:rPr>
              <w:t>OSD</w:t>
            </w:r>
            <w:r w:rsidR="006B16BC" w:rsidRPr="00E93F59">
              <w:rPr>
                <w:color w:val="auto"/>
                <w:szCs w:val="24"/>
              </w:rPr>
              <w:t xml:space="preserve"> nie zawrze rezerwowej umowy sprzedaży energii elektrycznej lub rezerwowej umowy kompleksowej w sytuacji:</w:t>
            </w:r>
          </w:p>
          <w:p w:rsidR="006B16BC" w:rsidRPr="00E93F59" w:rsidRDefault="006B16BC" w:rsidP="006824F9">
            <w:pPr>
              <w:pStyle w:val="Tekstpodstawowy"/>
              <w:numPr>
                <w:ilvl w:val="0"/>
                <w:numId w:val="33"/>
              </w:numPr>
              <w:tabs>
                <w:tab w:val="clear" w:pos="4536"/>
                <w:tab w:val="clear" w:pos="9072"/>
              </w:tabs>
              <w:spacing w:line="240" w:lineRule="auto"/>
              <w:rPr>
                <w:color w:val="auto"/>
                <w:szCs w:val="24"/>
              </w:rPr>
            </w:pPr>
            <w:r w:rsidRPr="00E93F59">
              <w:rPr>
                <w:color w:val="auto"/>
                <w:szCs w:val="24"/>
              </w:rPr>
              <w:t xml:space="preserve">wstrzymania dostarczania energii elektrycznej do URD, w przypadkach, o </w:t>
            </w:r>
            <w:r w:rsidRPr="00E93F59">
              <w:rPr>
                <w:color w:val="auto"/>
                <w:szCs w:val="24"/>
              </w:rPr>
              <w:lastRenderedPageBreak/>
              <w:t>których mowa w art. 6</w:t>
            </w:r>
            <w:r w:rsidR="001E5B84">
              <w:rPr>
                <w:color w:val="auto"/>
                <w:szCs w:val="24"/>
              </w:rPr>
              <w:t>a</w:t>
            </w:r>
            <w:r w:rsidRPr="00E93F59">
              <w:rPr>
                <w:color w:val="auto"/>
                <w:szCs w:val="24"/>
              </w:rPr>
              <w:t xml:space="preserve"> ust. 3</w:t>
            </w:r>
            <w:r w:rsidR="001E5B84">
              <w:rPr>
                <w:color w:val="auto"/>
                <w:szCs w:val="24"/>
              </w:rPr>
              <w:t xml:space="preserve"> oraz w art. 6b. ust. 1, ust. 2</w:t>
            </w:r>
            <w:r w:rsidRPr="00E93F59">
              <w:rPr>
                <w:color w:val="auto"/>
                <w:szCs w:val="24"/>
              </w:rPr>
              <w:t xml:space="preserve"> i ust. </w:t>
            </w:r>
            <w:r w:rsidR="001E5B84">
              <w:rPr>
                <w:color w:val="auto"/>
                <w:szCs w:val="24"/>
              </w:rPr>
              <w:t>4</w:t>
            </w:r>
            <w:r w:rsidRPr="00E93F59">
              <w:rPr>
                <w:color w:val="auto"/>
                <w:szCs w:val="24"/>
              </w:rPr>
              <w:t xml:space="preserve"> ustawy – Prawo energetyczne,</w:t>
            </w:r>
          </w:p>
          <w:p w:rsidR="006B16BC" w:rsidRDefault="006B16BC" w:rsidP="006824F9">
            <w:pPr>
              <w:pStyle w:val="Tekstpodstawowy"/>
              <w:numPr>
                <w:ilvl w:val="0"/>
                <w:numId w:val="33"/>
              </w:numPr>
              <w:tabs>
                <w:tab w:val="clear" w:pos="4536"/>
                <w:tab w:val="clear" w:pos="9072"/>
              </w:tabs>
              <w:spacing w:line="240" w:lineRule="auto"/>
              <w:rPr>
                <w:color w:val="auto"/>
                <w:szCs w:val="24"/>
              </w:rPr>
            </w:pPr>
            <w:r w:rsidRPr="00E93F59">
              <w:rPr>
                <w:color w:val="auto"/>
                <w:szCs w:val="24"/>
              </w:rPr>
              <w:t>zakończenia obowiązywania umowy sprzedaży energii elektrycznej lub umowy kompleksowej, z zastrzeżeniem pkt. A.7.3.</w:t>
            </w:r>
          </w:p>
        </w:tc>
      </w:tr>
      <w:tr w:rsidR="006B16BC" w:rsidRPr="00F8567E" w:rsidTr="00F021B9">
        <w:tc>
          <w:tcPr>
            <w:tcW w:w="1063" w:type="dxa"/>
          </w:tcPr>
          <w:p w:rsidR="006B16BC" w:rsidRDefault="006B16BC" w:rsidP="006B16BC">
            <w:pPr>
              <w:pStyle w:val="styl0"/>
              <w:spacing w:before="120"/>
            </w:pPr>
            <w:r>
              <w:lastRenderedPageBreak/>
              <w:t>A.7.3.</w:t>
            </w:r>
          </w:p>
        </w:tc>
        <w:tc>
          <w:tcPr>
            <w:tcW w:w="8147" w:type="dxa"/>
          </w:tcPr>
          <w:p w:rsidR="006B16BC" w:rsidRDefault="006B16BC" w:rsidP="00DA1B64">
            <w:pPr>
              <w:pStyle w:val="Tekstpodstawowy"/>
              <w:tabs>
                <w:tab w:val="clear" w:pos="4536"/>
                <w:tab w:val="clear" w:pos="9072"/>
              </w:tabs>
              <w:spacing w:line="240" w:lineRule="auto"/>
              <w:rPr>
                <w:color w:val="auto"/>
                <w:szCs w:val="24"/>
              </w:rPr>
            </w:pPr>
            <w:r w:rsidRPr="00E93F59">
              <w:rPr>
                <w:color w:val="auto"/>
                <w:szCs w:val="24"/>
              </w:rPr>
              <w:t xml:space="preserve">W przypadku, o którym mowa w pkt. A.7.2. pkt. 2, </w:t>
            </w:r>
            <w:r w:rsidR="00E45165">
              <w:rPr>
                <w:color w:val="auto"/>
                <w:szCs w:val="24"/>
              </w:rPr>
              <w:t>OSD</w:t>
            </w:r>
            <w:r w:rsidRPr="00E93F59">
              <w:rPr>
                <w:color w:val="auto"/>
                <w:szCs w:val="24"/>
              </w:rPr>
              <w:t xml:space="preserve"> informuje URD o braku zgłoszenia nowej umowy sprzedaży energii elektrycznej lub umowy kompleksowej i wzywa URD do przedstawienia nowej umowy sprzedaży energii elektrycznej lub umowy kompleksowej. Jeżeli URD nie przedstawi nowej umowy sprzedaży energii elektrycznej lub umowy kompleksowej, </w:t>
            </w:r>
            <w:r w:rsidR="00E45165">
              <w:rPr>
                <w:color w:val="auto"/>
                <w:szCs w:val="24"/>
              </w:rPr>
              <w:t>OSD</w:t>
            </w:r>
            <w:r w:rsidRPr="00E93F59">
              <w:rPr>
                <w:color w:val="auto"/>
                <w:szCs w:val="24"/>
              </w:rPr>
              <w:t xml:space="preserve"> zaprzestaje dostarczania energii do URD. Jeżeli URD przedstawi nową umowę sprzedaży energii elektrycznej lub umow</w:t>
            </w:r>
            <w:r w:rsidR="00DA1B64">
              <w:rPr>
                <w:color w:val="auto"/>
                <w:szCs w:val="24"/>
              </w:rPr>
              <w:t>ę</w:t>
            </w:r>
            <w:r w:rsidRPr="00E93F59">
              <w:rPr>
                <w:color w:val="auto"/>
                <w:szCs w:val="24"/>
              </w:rPr>
              <w:t xml:space="preserve"> kompleksową, </w:t>
            </w:r>
            <w:r w:rsidR="00E45165">
              <w:rPr>
                <w:color w:val="auto"/>
                <w:szCs w:val="24"/>
              </w:rPr>
              <w:t>OSD</w:t>
            </w:r>
            <w:r w:rsidRPr="00E93F59">
              <w:rPr>
                <w:color w:val="auto"/>
                <w:szCs w:val="24"/>
              </w:rPr>
              <w:t xml:space="preserve"> zawiera rezerwową umowę sprzedaży energii elektrycznej lub rezerwową umowę kompleksową z mocą od dnia zakończenia dotychczasowej umowy sprzedaży energii elektrycznej lub umowy kompleksowej, a przyjęcie do realizacji nowej umowy sprzedaży energii elektrycznej lub umowy kompleksowej następuje zgodnie z zasadami zawartymi w </w:t>
            </w:r>
            <w:proofErr w:type="spellStart"/>
            <w:r w:rsidRPr="00E93F59">
              <w:rPr>
                <w:color w:val="auto"/>
                <w:szCs w:val="24"/>
              </w:rPr>
              <w:t>IRiESD</w:t>
            </w:r>
            <w:proofErr w:type="spellEnd"/>
            <w:r w:rsidRPr="00E93F59">
              <w:rPr>
                <w:color w:val="auto"/>
                <w:szCs w:val="24"/>
              </w:rPr>
              <w:t>.</w:t>
            </w:r>
          </w:p>
        </w:tc>
      </w:tr>
      <w:tr w:rsidR="006B16BC" w:rsidRPr="00F8567E" w:rsidTr="00F021B9">
        <w:tc>
          <w:tcPr>
            <w:tcW w:w="1063" w:type="dxa"/>
          </w:tcPr>
          <w:p w:rsidR="006B16BC" w:rsidRDefault="006B16BC" w:rsidP="006B16BC">
            <w:pPr>
              <w:pStyle w:val="styl0"/>
              <w:spacing w:before="120"/>
            </w:pPr>
            <w:r>
              <w:t>A.7.4.</w:t>
            </w:r>
          </w:p>
        </w:tc>
        <w:tc>
          <w:tcPr>
            <w:tcW w:w="8147" w:type="dxa"/>
          </w:tcPr>
          <w:p w:rsidR="006B16BC" w:rsidRPr="00E93F59" w:rsidRDefault="006B16BC" w:rsidP="006B16BC">
            <w:pPr>
              <w:pStyle w:val="Tekstpodstawowy"/>
              <w:tabs>
                <w:tab w:val="clear" w:pos="4536"/>
                <w:tab w:val="clear" w:pos="9072"/>
              </w:tabs>
              <w:spacing w:line="240" w:lineRule="auto"/>
              <w:rPr>
                <w:color w:val="auto"/>
                <w:szCs w:val="24"/>
              </w:rPr>
            </w:pPr>
            <w:r w:rsidRPr="00377A9F">
              <w:rPr>
                <w:color w:val="auto"/>
                <w:szCs w:val="24"/>
              </w:rPr>
              <w:t xml:space="preserve">Warunkiem zawarcia rezerwowej umowy sprzedaży energii elektrycznej lub rezerwowej umowy kompleksowej przez </w:t>
            </w:r>
            <w:r w:rsidR="00E45165">
              <w:rPr>
                <w:color w:val="auto"/>
                <w:szCs w:val="24"/>
              </w:rPr>
              <w:t>OSD</w:t>
            </w:r>
            <w:r w:rsidRPr="00377A9F">
              <w:rPr>
                <w:color w:val="auto"/>
                <w:szCs w:val="24"/>
              </w:rPr>
              <w:t xml:space="preserve"> jest wskazanie przez URD w umowie o świadczenie usług dystrybucji zawartej z </w:t>
            </w:r>
            <w:r w:rsidR="00E45165">
              <w:rPr>
                <w:color w:val="auto"/>
                <w:szCs w:val="24"/>
              </w:rPr>
              <w:t>OSD</w:t>
            </w:r>
            <w:r w:rsidRPr="00377A9F">
              <w:rPr>
                <w:color w:val="auto"/>
                <w:szCs w:val="24"/>
              </w:rPr>
              <w:t xml:space="preserve"> lub udzielenie </w:t>
            </w:r>
            <w:r w:rsidR="00E45165">
              <w:rPr>
                <w:color w:val="auto"/>
                <w:szCs w:val="24"/>
              </w:rPr>
              <w:t>OSD</w:t>
            </w:r>
            <w:r w:rsidRPr="00377A9F">
              <w:rPr>
                <w:color w:val="auto"/>
                <w:szCs w:val="24"/>
              </w:rPr>
              <w:t xml:space="preserve"> przez URD przy zawieraniu umowy kompleksowej ze Sprzedawcą pisemnego pełnomocnictwa, w którym URD wskaże wybranego przez siebie z wykazu, o którym mowa w pkt. A.3.8., sprzedawcę rezerwowego. Sprzedawca zobowiązany jest do przekazania </w:t>
            </w:r>
            <w:r w:rsidR="00E45165">
              <w:rPr>
                <w:color w:val="auto"/>
                <w:szCs w:val="24"/>
              </w:rPr>
              <w:t>OSD</w:t>
            </w:r>
            <w:r w:rsidRPr="00377A9F">
              <w:rPr>
                <w:color w:val="auto"/>
                <w:szCs w:val="24"/>
              </w:rPr>
              <w:t xml:space="preserve"> tego pełnomocnictwa w formie elektronicznej (</w:t>
            </w:r>
            <w:proofErr w:type="spellStart"/>
            <w:r w:rsidRPr="00377A9F">
              <w:rPr>
                <w:color w:val="auto"/>
                <w:szCs w:val="24"/>
              </w:rPr>
              <w:t>skan</w:t>
            </w:r>
            <w:proofErr w:type="spellEnd"/>
            <w:r w:rsidRPr="00377A9F">
              <w:rPr>
                <w:color w:val="auto"/>
                <w:szCs w:val="24"/>
              </w:rPr>
              <w:t>) wraz</w:t>
            </w:r>
            <w:r>
              <w:rPr>
                <w:color w:val="auto"/>
                <w:szCs w:val="24"/>
              </w:rPr>
              <w:t xml:space="preserve"> </w:t>
            </w:r>
            <w:r w:rsidRPr="00377A9F">
              <w:rPr>
                <w:color w:val="auto"/>
                <w:szCs w:val="24"/>
              </w:rPr>
              <w:t xml:space="preserve">ze zgłoszeniem umowy kompleksowej do realizacji. Jednocześnie Sprzedawca zobowiązany jest do przekazania </w:t>
            </w:r>
            <w:r w:rsidR="00E45165">
              <w:rPr>
                <w:color w:val="auto"/>
                <w:szCs w:val="24"/>
              </w:rPr>
              <w:t>OSD</w:t>
            </w:r>
            <w:r w:rsidRPr="00377A9F">
              <w:rPr>
                <w:color w:val="auto"/>
                <w:szCs w:val="24"/>
              </w:rPr>
              <w:t xml:space="preserve"> oryginału powyższego upoważnienia, na każde żądanie </w:t>
            </w:r>
            <w:r w:rsidR="00E45165">
              <w:rPr>
                <w:color w:val="auto"/>
                <w:szCs w:val="24"/>
              </w:rPr>
              <w:t>OSD</w:t>
            </w:r>
            <w:r w:rsidRPr="00377A9F">
              <w:rPr>
                <w:color w:val="auto"/>
                <w:szCs w:val="24"/>
              </w:rPr>
              <w:t xml:space="preserve"> najpóźniej w terminie 7 dni kalendarzowych od dnia otrzymania żądania.</w:t>
            </w:r>
          </w:p>
        </w:tc>
      </w:tr>
      <w:tr w:rsidR="006B16BC" w:rsidRPr="00F8567E" w:rsidTr="00F021B9">
        <w:tc>
          <w:tcPr>
            <w:tcW w:w="1063" w:type="dxa"/>
          </w:tcPr>
          <w:p w:rsidR="006B16BC" w:rsidRDefault="006B16BC" w:rsidP="006B16BC">
            <w:pPr>
              <w:pStyle w:val="styl0"/>
              <w:spacing w:before="120"/>
            </w:pPr>
            <w:r>
              <w:t>A.7.5.</w:t>
            </w:r>
          </w:p>
        </w:tc>
        <w:tc>
          <w:tcPr>
            <w:tcW w:w="8147" w:type="dxa"/>
          </w:tcPr>
          <w:p w:rsidR="006B16BC" w:rsidRPr="00E942D8" w:rsidRDefault="006B16BC" w:rsidP="006B16BC">
            <w:pPr>
              <w:pStyle w:val="Tekstpodstawowy"/>
              <w:tabs>
                <w:tab w:val="clear" w:pos="4536"/>
                <w:tab w:val="clear" w:pos="9072"/>
              </w:tabs>
              <w:spacing w:line="240" w:lineRule="auto"/>
              <w:rPr>
                <w:color w:val="auto"/>
                <w:szCs w:val="24"/>
              </w:rPr>
            </w:pPr>
            <w:r w:rsidRPr="00E942D8">
              <w:rPr>
                <w:color w:val="auto"/>
                <w:szCs w:val="24"/>
              </w:rPr>
              <w:t xml:space="preserve">Jeżeli </w:t>
            </w:r>
            <w:r w:rsidR="00E45165">
              <w:rPr>
                <w:color w:val="auto"/>
                <w:szCs w:val="24"/>
              </w:rPr>
              <w:t>OSD</w:t>
            </w:r>
            <w:r w:rsidRPr="00E942D8">
              <w:rPr>
                <w:color w:val="auto"/>
                <w:szCs w:val="24"/>
              </w:rPr>
              <w:t xml:space="preserve"> stwierdzi, że zaistniała którakolwiek z przyczyn wskazanych w pkt. A.7.1., a URD:</w:t>
            </w:r>
          </w:p>
          <w:p w:rsidR="006B16BC" w:rsidRPr="00E942D8" w:rsidRDefault="006B16BC" w:rsidP="006824F9">
            <w:pPr>
              <w:pStyle w:val="Tekstpodstawowy"/>
              <w:numPr>
                <w:ilvl w:val="1"/>
                <w:numId w:val="31"/>
              </w:numPr>
              <w:tabs>
                <w:tab w:val="clear" w:pos="4536"/>
                <w:tab w:val="clear" w:pos="9072"/>
              </w:tabs>
              <w:spacing w:line="240" w:lineRule="auto"/>
              <w:ind w:left="355"/>
              <w:rPr>
                <w:color w:val="auto"/>
                <w:szCs w:val="24"/>
              </w:rPr>
            </w:pPr>
            <w:r w:rsidRPr="00E942D8">
              <w:rPr>
                <w:color w:val="auto"/>
                <w:szCs w:val="24"/>
              </w:rPr>
              <w:t>nie udzieli pełnomocnictwa w sposób określony w pkt. A.7.4., albo</w:t>
            </w:r>
          </w:p>
          <w:p w:rsidR="006B16BC" w:rsidRPr="00E942D8" w:rsidRDefault="006B16BC" w:rsidP="006824F9">
            <w:pPr>
              <w:pStyle w:val="Tekstpodstawowy"/>
              <w:numPr>
                <w:ilvl w:val="1"/>
                <w:numId w:val="31"/>
              </w:numPr>
              <w:tabs>
                <w:tab w:val="clear" w:pos="4536"/>
                <w:tab w:val="clear" w:pos="9072"/>
              </w:tabs>
              <w:spacing w:line="240" w:lineRule="auto"/>
              <w:ind w:left="355"/>
              <w:rPr>
                <w:color w:val="auto"/>
                <w:szCs w:val="24"/>
              </w:rPr>
            </w:pPr>
            <w:r w:rsidRPr="00E942D8">
              <w:rPr>
                <w:color w:val="auto"/>
                <w:szCs w:val="24"/>
              </w:rPr>
              <w:t>nie wskaże sprzedawcy rezerwowego w sposób określony w pkt. A.7.4., albo</w:t>
            </w:r>
          </w:p>
          <w:p w:rsidR="006B16BC" w:rsidRPr="00E942D8" w:rsidRDefault="006B16BC" w:rsidP="006824F9">
            <w:pPr>
              <w:pStyle w:val="Tekstpodstawowy"/>
              <w:numPr>
                <w:ilvl w:val="1"/>
                <w:numId w:val="31"/>
              </w:numPr>
              <w:tabs>
                <w:tab w:val="clear" w:pos="4536"/>
                <w:tab w:val="clear" w:pos="9072"/>
              </w:tabs>
              <w:spacing w:line="240" w:lineRule="auto"/>
              <w:ind w:left="355"/>
              <w:rPr>
                <w:color w:val="auto"/>
                <w:szCs w:val="24"/>
              </w:rPr>
            </w:pPr>
            <w:r w:rsidRPr="00E942D8">
              <w:rPr>
                <w:color w:val="auto"/>
                <w:szCs w:val="24"/>
              </w:rPr>
              <w:t>wybrany sprzedawca rezerwowy nie zawrze lub nie będzie mógł zrealizować rezerwowej umowy sprzedaży energii elektrycznej lub rezerwowej umowy kompleksowej,</w:t>
            </w:r>
          </w:p>
          <w:p w:rsidR="006B16BC" w:rsidRPr="00377A9F" w:rsidRDefault="00E45165" w:rsidP="006B16BC">
            <w:pPr>
              <w:pStyle w:val="Tekstpodstawowy"/>
              <w:tabs>
                <w:tab w:val="clear" w:pos="4536"/>
                <w:tab w:val="clear" w:pos="9072"/>
              </w:tabs>
              <w:spacing w:line="240" w:lineRule="auto"/>
              <w:rPr>
                <w:color w:val="auto"/>
                <w:szCs w:val="24"/>
              </w:rPr>
            </w:pPr>
            <w:r>
              <w:rPr>
                <w:color w:val="auto"/>
                <w:szCs w:val="24"/>
              </w:rPr>
              <w:t>OSD</w:t>
            </w:r>
            <w:r w:rsidR="006B16BC" w:rsidRPr="00E942D8">
              <w:rPr>
                <w:color w:val="auto"/>
                <w:szCs w:val="24"/>
              </w:rPr>
              <w:t xml:space="preserve"> zawrze w imieniu URD rezerwową umowę sprzedaży energii elektrycznej lub rezerwową umowę kompleksową ze sprzedawcą wykonującym na jego obszarze zadania sprzedawcy z urzędu na podstawie upoważnienia zawartego w treści umowy o świadczenie usług dystrybucji lub umowy kompleksowej. Sprzedawca na żądanie </w:t>
            </w:r>
            <w:r>
              <w:rPr>
                <w:color w:val="auto"/>
                <w:szCs w:val="24"/>
              </w:rPr>
              <w:t>OSD</w:t>
            </w:r>
            <w:r w:rsidR="006B16BC" w:rsidRPr="00E942D8">
              <w:rPr>
                <w:color w:val="auto"/>
                <w:szCs w:val="24"/>
              </w:rPr>
              <w:t xml:space="preserve"> przekaże mu wyciąg z umowy kompleksowej z takim upoważnieniem nie później niż w terminie 7 dni kalendarzowych od otrzymania żądania.</w:t>
            </w:r>
          </w:p>
        </w:tc>
      </w:tr>
      <w:tr w:rsidR="006B16BC" w:rsidRPr="00F8567E" w:rsidTr="00F021B9">
        <w:tc>
          <w:tcPr>
            <w:tcW w:w="1063" w:type="dxa"/>
          </w:tcPr>
          <w:p w:rsidR="006B16BC" w:rsidRDefault="006B16BC" w:rsidP="006B16BC">
            <w:pPr>
              <w:pStyle w:val="styl0"/>
              <w:spacing w:before="120"/>
            </w:pPr>
            <w:r>
              <w:lastRenderedPageBreak/>
              <w:t>A.7.6.</w:t>
            </w:r>
          </w:p>
        </w:tc>
        <w:tc>
          <w:tcPr>
            <w:tcW w:w="8147" w:type="dxa"/>
          </w:tcPr>
          <w:p w:rsidR="006B16BC" w:rsidRPr="00E942D8" w:rsidRDefault="006B16BC" w:rsidP="006B16BC">
            <w:pPr>
              <w:pStyle w:val="Tekstpodstawowy"/>
              <w:tabs>
                <w:tab w:val="clear" w:pos="4536"/>
                <w:tab w:val="clear" w:pos="9072"/>
              </w:tabs>
              <w:spacing w:line="240" w:lineRule="auto"/>
              <w:rPr>
                <w:color w:val="auto"/>
                <w:szCs w:val="24"/>
              </w:rPr>
            </w:pPr>
            <w:r w:rsidRPr="00E942D8">
              <w:rPr>
                <w:color w:val="auto"/>
                <w:szCs w:val="24"/>
              </w:rPr>
              <w:t xml:space="preserve">W razie zaistnienia podstaw do rozpoczęcia przez Sprzedawcę rezerwowej sprzedaży energii elektrycznej lub świadczenia rezerwowej usługi kompleksowej na rzecz URD </w:t>
            </w:r>
            <w:r>
              <w:rPr>
                <w:color w:val="auto"/>
                <w:szCs w:val="24"/>
              </w:rPr>
              <w:t>OSD</w:t>
            </w:r>
            <w:r w:rsidRPr="00E942D8">
              <w:rPr>
                <w:color w:val="auto"/>
                <w:szCs w:val="24"/>
              </w:rPr>
              <w:t xml:space="preserve"> w terminie 5 dni roboczych od stwierdzenia którejkolwiek z przyczyn wymienionych w pkt. A.7.1. złoży Sprzedawcy w imieniu i na rzecz URD oświadczenie o przyjęciu oferty rezerwowej sprzedaży energii elektrycznej lub świadczenia rezerwowej usługi kompleksowej.</w:t>
            </w:r>
          </w:p>
        </w:tc>
      </w:tr>
      <w:tr w:rsidR="006B16BC" w:rsidRPr="00F8567E" w:rsidTr="00F021B9">
        <w:tc>
          <w:tcPr>
            <w:tcW w:w="1063" w:type="dxa"/>
          </w:tcPr>
          <w:p w:rsidR="006B16BC" w:rsidRDefault="006B16BC" w:rsidP="006B16BC">
            <w:pPr>
              <w:pStyle w:val="styl0"/>
              <w:spacing w:before="120"/>
            </w:pPr>
            <w:r>
              <w:t>A.7.7.</w:t>
            </w:r>
          </w:p>
        </w:tc>
        <w:tc>
          <w:tcPr>
            <w:tcW w:w="8147" w:type="dxa"/>
          </w:tcPr>
          <w:p w:rsidR="006B16BC" w:rsidRPr="00E942D8" w:rsidRDefault="006B16BC" w:rsidP="006B16BC">
            <w:pPr>
              <w:pStyle w:val="Tekstpodstawowy"/>
              <w:tabs>
                <w:tab w:val="clear" w:pos="4536"/>
                <w:tab w:val="clear" w:pos="9072"/>
              </w:tabs>
              <w:spacing w:line="240" w:lineRule="auto"/>
              <w:rPr>
                <w:color w:val="auto"/>
                <w:szCs w:val="24"/>
              </w:rPr>
            </w:pPr>
            <w:r w:rsidRPr="00ED30D1">
              <w:rPr>
                <w:color w:val="auto"/>
                <w:szCs w:val="24"/>
              </w:rPr>
              <w:t xml:space="preserve">W terminie 10 dni kalendarzowych od złożenia Sprzedawcy przez </w:t>
            </w:r>
            <w:r w:rsidR="00E45165">
              <w:rPr>
                <w:color w:val="auto"/>
                <w:szCs w:val="24"/>
              </w:rPr>
              <w:t>OSD</w:t>
            </w:r>
            <w:r w:rsidRPr="00ED30D1">
              <w:rPr>
                <w:color w:val="auto"/>
                <w:szCs w:val="24"/>
              </w:rPr>
              <w:t xml:space="preserve"> oświadczenia, o którym mowa w pkt. A.7.6., </w:t>
            </w:r>
            <w:r w:rsidR="00E45165">
              <w:rPr>
                <w:color w:val="auto"/>
                <w:szCs w:val="24"/>
              </w:rPr>
              <w:t>OSD</w:t>
            </w:r>
            <w:r w:rsidRPr="00ED30D1">
              <w:rPr>
                <w:color w:val="auto"/>
                <w:szCs w:val="24"/>
              </w:rPr>
              <w:t xml:space="preserve"> zawiadomi na piśmie URD o przyczynach zawarcia rezerwowej umowy sprzedaży energii elektrycznej lub rezerwowej umowy kompleksowej, osobie sprzedawcy rezerwowego i jego danych teleadresowych, maksymalnym okresie obowiązywania umowy i prawie URD do wypowiedzenia umowy oraz o miejscu opublikowania przez Sprzedawcę rezerwowego innych warunków rezerwowej umowy sprzedaży energii elektrycznej lub rezerwowej umowy kompleksowej, w tym ceny.</w:t>
            </w:r>
          </w:p>
        </w:tc>
      </w:tr>
      <w:tr w:rsidR="006B16BC" w:rsidRPr="00F8567E" w:rsidTr="00F021B9">
        <w:tc>
          <w:tcPr>
            <w:tcW w:w="1063" w:type="dxa"/>
          </w:tcPr>
          <w:p w:rsidR="006B16BC" w:rsidRDefault="006B16BC" w:rsidP="006B16BC">
            <w:pPr>
              <w:pStyle w:val="styl0"/>
              <w:spacing w:before="120"/>
            </w:pPr>
            <w:r>
              <w:t>A.7.8.</w:t>
            </w:r>
          </w:p>
        </w:tc>
        <w:tc>
          <w:tcPr>
            <w:tcW w:w="8147" w:type="dxa"/>
          </w:tcPr>
          <w:p w:rsidR="006B16BC" w:rsidRPr="00ED30D1" w:rsidRDefault="006B16BC" w:rsidP="006B16BC">
            <w:pPr>
              <w:pStyle w:val="Tekstpodstawowy"/>
              <w:tabs>
                <w:tab w:val="clear" w:pos="4536"/>
                <w:tab w:val="clear" w:pos="9072"/>
              </w:tabs>
              <w:spacing w:line="240" w:lineRule="auto"/>
              <w:rPr>
                <w:color w:val="auto"/>
                <w:szCs w:val="24"/>
              </w:rPr>
            </w:pPr>
            <w:r w:rsidRPr="00BD276E">
              <w:rPr>
                <w:color w:val="auto"/>
                <w:szCs w:val="24"/>
              </w:rPr>
              <w:t>Rezerwowa umowa sprzedaży energii elektrycznej lub rezerwowa umowa kompleksowa wchodzi w życie od dnia zaistnienia przesłanki jej zawarcia.</w:t>
            </w:r>
          </w:p>
        </w:tc>
      </w:tr>
      <w:tr w:rsidR="006B16BC" w:rsidRPr="00F8567E" w:rsidTr="00F021B9">
        <w:tc>
          <w:tcPr>
            <w:tcW w:w="1063" w:type="dxa"/>
          </w:tcPr>
          <w:p w:rsidR="006B16BC" w:rsidRDefault="006B16BC" w:rsidP="006B16BC">
            <w:pPr>
              <w:pStyle w:val="styl0"/>
              <w:spacing w:before="120"/>
            </w:pPr>
            <w:r>
              <w:t>A.7.9.</w:t>
            </w:r>
          </w:p>
        </w:tc>
        <w:tc>
          <w:tcPr>
            <w:tcW w:w="8147" w:type="dxa"/>
          </w:tcPr>
          <w:p w:rsidR="006B16BC" w:rsidRPr="00BD276E" w:rsidRDefault="006B16BC" w:rsidP="006B16BC">
            <w:pPr>
              <w:pStyle w:val="Tekstpodstawowy"/>
              <w:tabs>
                <w:tab w:val="clear" w:pos="4536"/>
                <w:tab w:val="clear" w:pos="9072"/>
              </w:tabs>
              <w:spacing w:line="240" w:lineRule="auto"/>
              <w:rPr>
                <w:color w:val="auto"/>
                <w:szCs w:val="24"/>
              </w:rPr>
            </w:pPr>
            <w:r w:rsidRPr="00BD276E">
              <w:rPr>
                <w:color w:val="auto"/>
                <w:szCs w:val="24"/>
              </w:rPr>
              <w:t>Z zastrzeżeniem pkt. A.7.10. i A.7.12., rezerwowa umowa sprzedaży energii elektrycznej lub rezerwowa umowa kompleksowa ulega rozwiązaniu z chwilą:</w:t>
            </w:r>
          </w:p>
          <w:p w:rsidR="006B16BC" w:rsidRPr="00BD276E" w:rsidRDefault="006B16BC" w:rsidP="006824F9">
            <w:pPr>
              <w:pStyle w:val="Tekstpodstawowy"/>
              <w:numPr>
                <w:ilvl w:val="1"/>
                <w:numId w:val="32"/>
              </w:numPr>
              <w:tabs>
                <w:tab w:val="clear" w:pos="4536"/>
                <w:tab w:val="clear" w:pos="9072"/>
              </w:tabs>
              <w:spacing w:line="240" w:lineRule="auto"/>
              <w:ind w:left="497"/>
              <w:rPr>
                <w:color w:val="auto"/>
                <w:szCs w:val="24"/>
              </w:rPr>
            </w:pPr>
            <w:r w:rsidRPr="00BD276E">
              <w:rPr>
                <w:color w:val="auto"/>
                <w:szCs w:val="24"/>
              </w:rPr>
              <w:t>ustania przyczyny jej zawarcia,</w:t>
            </w:r>
          </w:p>
          <w:p w:rsidR="006B16BC" w:rsidRPr="00BD276E" w:rsidRDefault="006B16BC" w:rsidP="006824F9">
            <w:pPr>
              <w:pStyle w:val="Tekstpodstawowy"/>
              <w:numPr>
                <w:ilvl w:val="1"/>
                <w:numId w:val="32"/>
              </w:numPr>
              <w:tabs>
                <w:tab w:val="clear" w:pos="4536"/>
                <w:tab w:val="clear" w:pos="9072"/>
              </w:tabs>
              <w:spacing w:line="240" w:lineRule="auto"/>
              <w:ind w:left="497"/>
              <w:rPr>
                <w:color w:val="auto"/>
                <w:szCs w:val="24"/>
              </w:rPr>
            </w:pPr>
            <w:r w:rsidRPr="00BD276E">
              <w:rPr>
                <w:color w:val="auto"/>
                <w:szCs w:val="24"/>
              </w:rPr>
              <w:t>z dniem rozpoczęcia sprzedaży energii elektrycznej na podstawie nowej umowy sprzedaży energii elektrycznej lub świadczenia usługi kompleksowej</w:t>
            </w:r>
            <w:r>
              <w:rPr>
                <w:color w:val="auto"/>
                <w:szCs w:val="24"/>
              </w:rPr>
              <w:t xml:space="preserve"> </w:t>
            </w:r>
            <w:r w:rsidRPr="00BD276E">
              <w:rPr>
                <w:color w:val="auto"/>
                <w:szCs w:val="24"/>
              </w:rPr>
              <w:t>na podstawie nowej umowy kompleksowej, zawartej przez URD z innym sprzedawcą podstawowym,</w:t>
            </w:r>
          </w:p>
          <w:p w:rsidR="006B16BC" w:rsidRPr="00BD276E" w:rsidRDefault="006B16BC" w:rsidP="006B16BC">
            <w:pPr>
              <w:pStyle w:val="Tekstpodstawowy"/>
              <w:tabs>
                <w:tab w:val="clear" w:pos="4536"/>
                <w:tab w:val="clear" w:pos="9072"/>
              </w:tabs>
              <w:spacing w:line="240" w:lineRule="auto"/>
              <w:rPr>
                <w:color w:val="auto"/>
                <w:szCs w:val="24"/>
              </w:rPr>
            </w:pPr>
            <w:r w:rsidRPr="00BD276E">
              <w:rPr>
                <w:color w:val="auto"/>
                <w:szCs w:val="24"/>
              </w:rPr>
              <w:t>jednak nie później niż po upływie dwóch miesięcy od dnia, w którym weszła w życie, ze skutkiem na koniec miesiąca kalendarzowego.</w:t>
            </w:r>
            <w:r>
              <w:rPr>
                <w:color w:val="auto"/>
                <w:szCs w:val="24"/>
              </w:rPr>
              <w:t xml:space="preserve"> </w:t>
            </w:r>
          </w:p>
        </w:tc>
      </w:tr>
      <w:tr w:rsidR="006B16BC" w:rsidRPr="00F8567E" w:rsidTr="00F021B9">
        <w:tc>
          <w:tcPr>
            <w:tcW w:w="1063" w:type="dxa"/>
          </w:tcPr>
          <w:p w:rsidR="006B16BC" w:rsidRDefault="006B16BC" w:rsidP="006B16BC">
            <w:pPr>
              <w:pStyle w:val="styl0"/>
              <w:spacing w:before="120"/>
            </w:pPr>
            <w:r>
              <w:t>A.7.10.</w:t>
            </w:r>
          </w:p>
        </w:tc>
        <w:tc>
          <w:tcPr>
            <w:tcW w:w="8147" w:type="dxa"/>
          </w:tcPr>
          <w:p w:rsidR="006B16BC" w:rsidRPr="00BD276E" w:rsidRDefault="006B16BC" w:rsidP="006B16BC">
            <w:pPr>
              <w:pStyle w:val="Tekstpodstawowy"/>
              <w:tabs>
                <w:tab w:val="clear" w:pos="4536"/>
                <w:tab w:val="clear" w:pos="9072"/>
              </w:tabs>
              <w:spacing w:line="240" w:lineRule="auto"/>
              <w:rPr>
                <w:color w:val="auto"/>
                <w:szCs w:val="24"/>
              </w:rPr>
            </w:pPr>
            <w:r w:rsidRPr="00BD276E">
              <w:rPr>
                <w:color w:val="auto"/>
                <w:szCs w:val="24"/>
              </w:rPr>
              <w:t>Jeżeli rezerwowa umowa sprzedaży energii elektrycznej lub rezerwowa umowa kompleksowa została zawarta z przyczy</w:t>
            </w:r>
            <w:r>
              <w:rPr>
                <w:color w:val="auto"/>
                <w:szCs w:val="24"/>
              </w:rPr>
              <w:t>ny opisanej w pkt. A.7.1. lit. a</w:t>
            </w:r>
            <w:r w:rsidRPr="00BD276E">
              <w:rPr>
                <w:color w:val="auto"/>
                <w:szCs w:val="24"/>
              </w:rPr>
              <w:t>), ulega ona rozwiązaniu z chwilą ustania takiej przyczyny, o ile Sprzedawca lub wskazany przez niego POB ponownie zaczną działać na rynku bilansującym przed upływem 21 dni kalendarzowych od dnia zaprzestania działania na tym rynku</w:t>
            </w:r>
            <w:r>
              <w:rPr>
                <w:color w:val="auto"/>
                <w:szCs w:val="24"/>
              </w:rPr>
              <w:t>.</w:t>
            </w:r>
          </w:p>
        </w:tc>
      </w:tr>
      <w:tr w:rsidR="006B16BC" w:rsidRPr="00F8567E" w:rsidTr="00F021B9">
        <w:tc>
          <w:tcPr>
            <w:tcW w:w="1063" w:type="dxa"/>
          </w:tcPr>
          <w:p w:rsidR="006B16BC" w:rsidRDefault="006B16BC" w:rsidP="006B16BC">
            <w:pPr>
              <w:pStyle w:val="styl0"/>
              <w:spacing w:before="120"/>
            </w:pPr>
            <w:r>
              <w:t>A.7.11.</w:t>
            </w:r>
          </w:p>
        </w:tc>
        <w:tc>
          <w:tcPr>
            <w:tcW w:w="8147" w:type="dxa"/>
          </w:tcPr>
          <w:p w:rsidR="006B16BC" w:rsidRPr="00BD276E" w:rsidRDefault="00E45165" w:rsidP="006B16BC">
            <w:pPr>
              <w:pStyle w:val="Tekstpodstawowy"/>
              <w:tabs>
                <w:tab w:val="clear" w:pos="4536"/>
                <w:tab w:val="clear" w:pos="9072"/>
              </w:tabs>
              <w:spacing w:line="240" w:lineRule="auto"/>
              <w:rPr>
                <w:color w:val="auto"/>
                <w:szCs w:val="24"/>
              </w:rPr>
            </w:pPr>
            <w:r>
              <w:rPr>
                <w:color w:val="auto"/>
                <w:szCs w:val="24"/>
              </w:rPr>
              <w:t>OSD</w:t>
            </w:r>
            <w:r w:rsidR="006B16BC" w:rsidRPr="00C2431D">
              <w:rPr>
                <w:color w:val="auto"/>
                <w:szCs w:val="24"/>
              </w:rPr>
              <w:t xml:space="preserve"> niezwłocznie, nie później niż w ciągu 1 dnia roboczego od ustania przyczyny zawarcia rezerwowej umowy sprzedaży energii elektrycznej lub rezerwowej umowy kompleksowej informuje o tym fakcie Sprzedawcę rezerwowego.</w:t>
            </w:r>
          </w:p>
        </w:tc>
      </w:tr>
      <w:tr w:rsidR="006B16BC" w:rsidRPr="00F8567E" w:rsidTr="00F021B9">
        <w:tc>
          <w:tcPr>
            <w:tcW w:w="1063" w:type="dxa"/>
          </w:tcPr>
          <w:p w:rsidR="006B16BC" w:rsidRDefault="006B16BC" w:rsidP="006B16BC">
            <w:pPr>
              <w:pStyle w:val="styl0"/>
              <w:spacing w:before="120"/>
            </w:pPr>
            <w:r>
              <w:t>A.7.12.</w:t>
            </w:r>
          </w:p>
        </w:tc>
        <w:tc>
          <w:tcPr>
            <w:tcW w:w="8147" w:type="dxa"/>
          </w:tcPr>
          <w:p w:rsidR="006B16BC" w:rsidRDefault="006B16BC" w:rsidP="006B16BC">
            <w:pPr>
              <w:pStyle w:val="Tekstpodstawowy"/>
              <w:tabs>
                <w:tab w:val="clear" w:pos="4536"/>
                <w:tab w:val="clear" w:pos="9072"/>
              </w:tabs>
              <w:spacing w:line="240" w:lineRule="auto"/>
              <w:rPr>
                <w:color w:val="auto"/>
                <w:szCs w:val="24"/>
              </w:rPr>
            </w:pPr>
            <w:r w:rsidRPr="00BB18DE">
              <w:rPr>
                <w:color w:val="auto"/>
                <w:szCs w:val="24"/>
              </w:rPr>
              <w:t xml:space="preserve">Rezerwowa umowa sprzedaży energii elektrycznej lub rezerwowa umowa kompleksowa może zostać w każdym czasie wypowiedziana w formie pisemnej przez URD z zachowaniem 14-dniowego okresu wypowiedzenia. Sprzedawca jest zobowiązany do powiadomienia </w:t>
            </w:r>
            <w:r w:rsidR="00E45165">
              <w:rPr>
                <w:color w:val="auto"/>
                <w:szCs w:val="24"/>
              </w:rPr>
              <w:t>OSD</w:t>
            </w:r>
            <w:r w:rsidRPr="00BB18DE">
              <w:rPr>
                <w:color w:val="auto"/>
                <w:szCs w:val="24"/>
              </w:rPr>
              <w:t xml:space="preserve"> o wypowiedzeniu rezerwowej umowy sprzedaży energii elektrycznej lub rezerwowej umowy kompleksowej w terminie 2 dni roboczych od otrzymania wypowiedzenia.</w:t>
            </w:r>
          </w:p>
        </w:tc>
      </w:tr>
      <w:tr w:rsidR="006B16BC" w:rsidRPr="00F8567E" w:rsidTr="00F021B9">
        <w:tc>
          <w:tcPr>
            <w:tcW w:w="1063" w:type="dxa"/>
          </w:tcPr>
          <w:p w:rsidR="006B16BC" w:rsidRDefault="006B16BC" w:rsidP="006B16BC">
            <w:pPr>
              <w:pStyle w:val="styl0"/>
              <w:spacing w:before="120"/>
            </w:pPr>
            <w:r>
              <w:t>A.7.13.</w:t>
            </w:r>
          </w:p>
        </w:tc>
        <w:tc>
          <w:tcPr>
            <w:tcW w:w="8147" w:type="dxa"/>
          </w:tcPr>
          <w:p w:rsidR="006B16BC" w:rsidRPr="00BB18DE" w:rsidRDefault="006B16BC" w:rsidP="006B16BC">
            <w:pPr>
              <w:pStyle w:val="Tekstpodstawowy"/>
              <w:tabs>
                <w:tab w:val="clear" w:pos="4536"/>
                <w:tab w:val="clear" w:pos="9072"/>
              </w:tabs>
              <w:spacing w:line="240" w:lineRule="auto"/>
              <w:rPr>
                <w:color w:val="auto"/>
                <w:szCs w:val="24"/>
              </w:rPr>
            </w:pPr>
            <w:r w:rsidRPr="00BB18DE">
              <w:rPr>
                <w:color w:val="auto"/>
                <w:szCs w:val="24"/>
              </w:rPr>
              <w:t xml:space="preserve">Sprzedawca będzie każdorazowo informował </w:t>
            </w:r>
            <w:r w:rsidR="00E45165">
              <w:rPr>
                <w:color w:val="auto"/>
                <w:szCs w:val="24"/>
              </w:rPr>
              <w:t>OSD</w:t>
            </w:r>
            <w:r w:rsidRPr="00BB18DE">
              <w:rPr>
                <w:color w:val="auto"/>
                <w:szCs w:val="24"/>
              </w:rPr>
              <w:t xml:space="preserve"> o zaprzestaniu obowiązywania rezerwowej umowy sprzedaży energii elektrycznej lub rezerwowej umowy </w:t>
            </w:r>
            <w:r w:rsidRPr="00BB18DE">
              <w:rPr>
                <w:color w:val="auto"/>
                <w:szCs w:val="24"/>
              </w:rPr>
              <w:lastRenderedPageBreak/>
              <w:t xml:space="preserve">kompleksowej z URD, a </w:t>
            </w:r>
            <w:r w:rsidR="00E45165">
              <w:rPr>
                <w:color w:val="auto"/>
                <w:szCs w:val="24"/>
              </w:rPr>
              <w:t>OSD</w:t>
            </w:r>
            <w:r w:rsidRPr="00BB18DE">
              <w:rPr>
                <w:color w:val="auto"/>
                <w:szCs w:val="24"/>
              </w:rPr>
              <w:t xml:space="preserve"> udostępni Sprzedawcy odczyty wskazań układu pomiarowo-rozliczeniowego na dzień rozwiązania rezerwowej umowy sprzedaży energii elektrycznej lub rezerwowej umowy kompleksowej.</w:t>
            </w:r>
          </w:p>
        </w:tc>
      </w:tr>
      <w:tr w:rsidR="00BE5C52" w:rsidRPr="00F8567E" w:rsidTr="00F021B9">
        <w:tc>
          <w:tcPr>
            <w:tcW w:w="1063" w:type="dxa"/>
          </w:tcPr>
          <w:p w:rsidR="00BE5C52" w:rsidRDefault="00BE5C52" w:rsidP="006B16BC">
            <w:pPr>
              <w:pStyle w:val="styl0"/>
              <w:spacing w:before="120"/>
            </w:pPr>
            <w:r>
              <w:lastRenderedPageBreak/>
              <w:t>A.7.14.</w:t>
            </w:r>
          </w:p>
        </w:tc>
        <w:tc>
          <w:tcPr>
            <w:tcW w:w="8147" w:type="dxa"/>
          </w:tcPr>
          <w:p w:rsidR="00BE5C52" w:rsidRPr="00BB18DE" w:rsidRDefault="00BE5C52" w:rsidP="00BE5C52">
            <w:pPr>
              <w:pStyle w:val="Tekstpodstawowy"/>
              <w:tabs>
                <w:tab w:val="clear" w:pos="4536"/>
                <w:tab w:val="clear" w:pos="9072"/>
              </w:tabs>
              <w:spacing w:line="240" w:lineRule="auto"/>
              <w:rPr>
                <w:color w:val="auto"/>
                <w:szCs w:val="24"/>
              </w:rPr>
            </w:pPr>
            <w:r w:rsidRPr="00BE5C52">
              <w:rPr>
                <w:color w:val="auto"/>
                <w:szCs w:val="24"/>
              </w:rPr>
              <w:t>Okres rozliczeniowy odpowiada okresowi obowiązywania rezerwowej umowy</w:t>
            </w:r>
            <w:r>
              <w:rPr>
                <w:color w:val="auto"/>
                <w:szCs w:val="24"/>
              </w:rPr>
              <w:t xml:space="preserve"> </w:t>
            </w:r>
            <w:r w:rsidRPr="00BE5C52">
              <w:rPr>
                <w:color w:val="auto"/>
                <w:szCs w:val="24"/>
              </w:rPr>
              <w:t>kompleksowej. Sprzedawca rezerwowy wystawi URD w gospodarstwie domowym</w:t>
            </w:r>
            <w:r>
              <w:rPr>
                <w:color w:val="auto"/>
                <w:szCs w:val="24"/>
              </w:rPr>
              <w:t xml:space="preserve"> </w:t>
            </w:r>
            <w:r w:rsidRPr="00BE5C52">
              <w:rPr>
                <w:color w:val="auto"/>
                <w:szCs w:val="24"/>
              </w:rPr>
              <w:t xml:space="preserve">przyłączonym do sieci elektroenergetycznej </w:t>
            </w:r>
            <w:r>
              <w:rPr>
                <w:color w:val="auto"/>
                <w:szCs w:val="24"/>
              </w:rPr>
              <w:t>OSD</w:t>
            </w:r>
            <w:r w:rsidRPr="00BE5C52">
              <w:rPr>
                <w:color w:val="auto"/>
                <w:szCs w:val="24"/>
              </w:rPr>
              <w:t xml:space="preserve"> o napięciu</w:t>
            </w:r>
            <w:r>
              <w:rPr>
                <w:color w:val="auto"/>
                <w:szCs w:val="24"/>
              </w:rPr>
              <w:t xml:space="preserve"> </w:t>
            </w:r>
            <w:r w:rsidRPr="00BE5C52">
              <w:rPr>
                <w:color w:val="auto"/>
                <w:szCs w:val="24"/>
              </w:rPr>
              <w:t xml:space="preserve">znamionowym do 1 </w:t>
            </w:r>
            <w:proofErr w:type="spellStart"/>
            <w:r w:rsidRPr="00BE5C52">
              <w:rPr>
                <w:color w:val="auto"/>
                <w:szCs w:val="24"/>
              </w:rPr>
              <w:t>kV</w:t>
            </w:r>
            <w:proofErr w:type="spellEnd"/>
            <w:r w:rsidRPr="00BE5C52">
              <w:rPr>
                <w:color w:val="auto"/>
                <w:szCs w:val="24"/>
              </w:rPr>
              <w:t xml:space="preserve"> fakturę w ciągu 7 dni od zakończenia okresu</w:t>
            </w:r>
            <w:r>
              <w:rPr>
                <w:color w:val="auto"/>
                <w:szCs w:val="24"/>
              </w:rPr>
              <w:t xml:space="preserve"> </w:t>
            </w:r>
            <w:r w:rsidRPr="00BE5C52">
              <w:rPr>
                <w:color w:val="auto"/>
                <w:szCs w:val="24"/>
              </w:rPr>
              <w:t>rozliczeniowego, wskazując w niej termin płatności i numer rachunku bankowego.</w:t>
            </w:r>
          </w:p>
        </w:tc>
      </w:tr>
    </w:tbl>
    <w:p w:rsidR="00BC0CF2" w:rsidRPr="00F8567E" w:rsidRDefault="00BC0CF2" w:rsidP="00BC0CF2">
      <w:pPr>
        <w:pStyle w:val="Tekstpodstawowy"/>
        <w:tabs>
          <w:tab w:val="clear" w:pos="4536"/>
          <w:tab w:val="clear" w:pos="9072"/>
        </w:tabs>
        <w:spacing w:line="240" w:lineRule="auto"/>
        <w:jc w:val="right"/>
        <w:rPr>
          <w:color w:val="auto"/>
        </w:rPr>
      </w:pPr>
      <w:r w:rsidRPr="00F8567E">
        <w:rPr>
          <w:color w:val="auto"/>
        </w:rPr>
        <w:br w:type="page"/>
      </w:r>
    </w:p>
    <w:p w:rsidR="00BC0CF2" w:rsidRPr="00C645B4" w:rsidRDefault="00BC0CF2" w:rsidP="00BC0CF2">
      <w:pPr>
        <w:tabs>
          <w:tab w:val="left" w:pos="567"/>
        </w:tabs>
        <w:ind w:left="567" w:hanging="567"/>
        <w:rPr>
          <w:b/>
          <w:sz w:val="26"/>
          <w:szCs w:val="26"/>
          <w:vertAlign w:val="subscript"/>
        </w:rPr>
      </w:pPr>
      <w:r w:rsidRPr="00F8567E">
        <w:rPr>
          <w:b/>
          <w:sz w:val="26"/>
          <w:szCs w:val="26"/>
        </w:rPr>
        <w:lastRenderedPageBreak/>
        <w:t>B.</w:t>
      </w:r>
      <w:r w:rsidRPr="00F8567E">
        <w:rPr>
          <w:b/>
          <w:sz w:val="26"/>
          <w:szCs w:val="26"/>
        </w:rPr>
        <w:tab/>
        <w:t>ZASADY ZAWIERANIA UMÓW DYSTRYBUCJI Z URD</w:t>
      </w:r>
      <w:r>
        <w:rPr>
          <w:b/>
          <w:sz w:val="26"/>
          <w:szCs w:val="26"/>
          <w:vertAlign w:val="subscript"/>
        </w:rPr>
        <w:t>O</w:t>
      </w:r>
    </w:p>
    <w:p w:rsidR="00BC0CF2" w:rsidRPr="00F8567E" w:rsidRDefault="00BC0CF2" w:rsidP="00BC0CF2">
      <w:pPr>
        <w:spacing w:before="0"/>
        <w:rPr>
          <w:b/>
        </w:rPr>
      </w:pPr>
    </w:p>
    <w:tbl>
      <w:tblPr>
        <w:tblW w:w="9356" w:type="dxa"/>
        <w:tblInd w:w="-34" w:type="dxa"/>
        <w:tblLayout w:type="fixed"/>
        <w:tblLook w:val="01E0" w:firstRow="1" w:lastRow="1" w:firstColumn="1" w:lastColumn="1" w:noHBand="0" w:noVBand="0"/>
      </w:tblPr>
      <w:tblGrid>
        <w:gridCol w:w="1138"/>
        <w:gridCol w:w="8218"/>
      </w:tblGrid>
      <w:tr w:rsidR="00BC0CF2" w:rsidRPr="00F8567E" w:rsidTr="00F021B9">
        <w:tc>
          <w:tcPr>
            <w:tcW w:w="1138" w:type="dxa"/>
          </w:tcPr>
          <w:p w:rsidR="00BC0CF2" w:rsidRPr="00F8567E" w:rsidRDefault="00BC0CF2" w:rsidP="00F021B9">
            <w:pPr>
              <w:tabs>
                <w:tab w:val="clear" w:pos="4536"/>
                <w:tab w:val="clear" w:pos="9072"/>
              </w:tabs>
              <w:ind w:firstLine="0"/>
              <w:rPr>
                <w:color w:val="auto"/>
                <w:szCs w:val="24"/>
              </w:rPr>
            </w:pPr>
            <w:r w:rsidRPr="00F8567E">
              <w:rPr>
                <w:color w:val="auto"/>
                <w:szCs w:val="24"/>
              </w:rPr>
              <w:t>B.1.</w:t>
            </w:r>
          </w:p>
        </w:tc>
        <w:tc>
          <w:tcPr>
            <w:tcW w:w="8218" w:type="dxa"/>
          </w:tcPr>
          <w:p w:rsidR="00BC0CF2" w:rsidRPr="00F8567E" w:rsidRDefault="00BC0CF2" w:rsidP="00C83C6A">
            <w:pPr>
              <w:tabs>
                <w:tab w:val="clear" w:pos="4536"/>
                <w:tab w:val="clear" w:pos="9072"/>
              </w:tabs>
              <w:ind w:firstLine="0"/>
            </w:pPr>
            <w:r w:rsidRPr="00F8567E">
              <w:t>Umowa dystrybucji zawierana jest na wniosek URD</w:t>
            </w:r>
            <w:r>
              <w:rPr>
                <w:vertAlign w:val="subscript"/>
              </w:rPr>
              <w:t>O</w:t>
            </w:r>
            <w:r w:rsidRPr="00F8567E">
              <w:t xml:space="preserve">. Wzór wniosku jest przygotowany i opublikowany przez </w:t>
            </w:r>
            <w:r w:rsidR="00E45165">
              <w:t>OSD</w:t>
            </w:r>
            <w:r>
              <w:t xml:space="preserve"> </w:t>
            </w:r>
            <w:r w:rsidRPr="00F8567E">
              <w:t xml:space="preserve"> na stronie internetowej</w:t>
            </w:r>
            <w:r>
              <w:t xml:space="preserve"> </w:t>
            </w:r>
            <w:hyperlink r:id="rId11" w:history="1">
              <w:r w:rsidR="00A7724B">
                <w:rPr>
                  <w:rStyle w:val="Hipercze"/>
                </w:rPr>
                <w:t>www.</w:t>
              </w:r>
              <w:r w:rsidR="009F37EA">
                <w:rPr>
                  <w:rStyle w:val="Hipercze"/>
                </w:rPr>
                <w:t>sodapolskaciech</w:t>
              </w:r>
              <w:r w:rsidR="00A7724B">
                <w:rPr>
                  <w:rStyle w:val="Hipercze"/>
                </w:rPr>
                <w:t>.pl</w:t>
              </w:r>
            </w:hyperlink>
            <w:r w:rsidRPr="00F8567E">
              <w:t>.</w:t>
            </w:r>
          </w:p>
        </w:tc>
      </w:tr>
      <w:tr w:rsidR="008B2A03" w:rsidRPr="00F8567E" w:rsidTr="00F021B9">
        <w:tc>
          <w:tcPr>
            <w:tcW w:w="1138" w:type="dxa"/>
          </w:tcPr>
          <w:p w:rsidR="008B2A03" w:rsidRDefault="008B2A03" w:rsidP="008B2A03">
            <w:pPr>
              <w:tabs>
                <w:tab w:val="clear" w:pos="4536"/>
                <w:tab w:val="clear" w:pos="9072"/>
              </w:tabs>
              <w:ind w:firstLine="0"/>
              <w:rPr>
                <w:color w:val="auto"/>
                <w:szCs w:val="24"/>
              </w:rPr>
            </w:pPr>
            <w:r>
              <w:rPr>
                <w:color w:val="auto"/>
                <w:szCs w:val="24"/>
              </w:rPr>
              <w:t>B.2</w:t>
            </w:r>
          </w:p>
        </w:tc>
        <w:tc>
          <w:tcPr>
            <w:tcW w:w="8218" w:type="dxa"/>
          </w:tcPr>
          <w:p w:rsidR="008B2A03" w:rsidRDefault="008B2A03" w:rsidP="00DC1407">
            <w:pPr>
              <w:tabs>
                <w:tab w:val="clear" w:pos="4536"/>
                <w:tab w:val="clear" w:pos="9072"/>
              </w:tabs>
              <w:ind w:firstLine="0"/>
            </w:pPr>
            <w:r w:rsidRPr="0078070D">
              <w:t xml:space="preserve">W przypadku </w:t>
            </w:r>
            <w:proofErr w:type="spellStart"/>
            <w:r w:rsidRPr="0078070D">
              <w:t>URDo</w:t>
            </w:r>
            <w:proofErr w:type="spellEnd"/>
            <w:r w:rsidRPr="0078070D">
              <w:t xml:space="preserve">, umowa dystrybucji </w:t>
            </w:r>
            <w:r w:rsidR="00DC1407">
              <w:t>zaleca się</w:t>
            </w:r>
            <w:r w:rsidRPr="0078070D">
              <w:t xml:space="preserve"> zawr</w:t>
            </w:r>
            <w:r w:rsidR="00DC1407">
              <w:t>zeć</w:t>
            </w:r>
            <w:r w:rsidRPr="0078070D">
              <w:t xml:space="preserve"> przed dniem złożenia do </w:t>
            </w:r>
            <w:r w:rsidR="00E45165">
              <w:t>OSD</w:t>
            </w:r>
            <w:r w:rsidRPr="0078070D">
              <w:t xml:space="preserve"> powiadomienia o zawarciu umowy sprzedaży energii elektrycznej, którą </w:t>
            </w:r>
            <w:proofErr w:type="spellStart"/>
            <w:r w:rsidRPr="0078070D">
              <w:t>URDo</w:t>
            </w:r>
            <w:proofErr w:type="spellEnd"/>
            <w:r w:rsidRPr="0078070D">
              <w:t xml:space="preserve"> zawarł z wybranym sprzedawcą, za wyjątkiem sytuacji opisanej w pkt. D.2.3. oraz D.3.5., dla których to przypadków umowa dystrybucji winna zostać zawarta przed datą rozpoczęcia świadczenia usług dystrybucji. Świadczenie usługi dystrybucji energii elektrycznej wynikające z zawartej przez </w:t>
            </w:r>
            <w:proofErr w:type="spellStart"/>
            <w:r w:rsidRPr="0078070D">
              <w:t>URDo</w:t>
            </w:r>
            <w:proofErr w:type="spellEnd"/>
            <w:r w:rsidRPr="0078070D">
              <w:t xml:space="preserve"> umowy dystrybucji, następuje z datą wejścia w życie umowy sprzedaży energii elektrycznej. Wymóg zawarcia umowy dystrybucji nie dotyczy zawartej wcześniej przez </w:t>
            </w:r>
            <w:proofErr w:type="spellStart"/>
            <w:r w:rsidRPr="0078070D">
              <w:t>URDo</w:t>
            </w:r>
            <w:proofErr w:type="spellEnd"/>
            <w:r w:rsidRPr="0078070D">
              <w:t xml:space="preserve"> i nowego Sprzedawcę umowy kompleksowej w gospodarstwie domowym.</w:t>
            </w:r>
          </w:p>
        </w:tc>
      </w:tr>
      <w:tr w:rsidR="008B2A03" w:rsidRPr="00F8567E" w:rsidTr="00F021B9">
        <w:tc>
          <w:tcPr>
            <w:tcW w:w="1138" w:type="dxa"/>
          </w:tcPr>
          <w:p w:rsidR="008B2A03" w:rsidRDefault="008B2A03" w:rsidP="008B2A03">
            <w:pPr>
              <w:tabs>
                <w:tab w:val="clear" w:pos="4536"/>
                <w:tab w:val="clear" w:pos="9072"/>
              </w:tabs>
              <w:ind w:firstLine="0"/>
              <w:rPr>
                <w:color w:val="auto"/>
                <w:szCs w:val="24"/>
              </w:rPr>
            </w:pPr>
            <w:r>
              <w:rPr>
                <w:color w:val="auto"/>
                <w:szCs w:val="24"/>
              </w:rPr>
              <w:t>B.3.</w:t>
            </w:r>
          </w:p>
        </w:tc>
        <w:tc>
          <w:tcPr>
            <w:tcW w:w="8218" w:type="dxa"/>
          </w:tcPr>
          <w:p w:rsidR="008B2A03" w:rsidRPr="0078070D" w:rsidRDefault="008B2A03" w:rsidP="008B2A03">
            <w:pPr>
              <w:tabs>
                <w:tab w:val="clear" w:pos="4536"/>
                <w:tab w:val="clear" w:pos="9072"/>
              </w:tabs>
              <w:ind w:firstLine="0"/>
            </w:pPr>
            <w:r w:rsidRPr="0078070D">
              <w:t xml:space="preserve">W przypadku </w:t>
            </w:r>
            <w:proofErr w:type="spellStart"/>
            <w:r w:rsidRPr="0078070D">
              <w:t>URDw</w:t>
            </w:r>
            <w:proofErr w:type="spellEnd"/>
            <w:r w:rsidRPr="0078070D">
              <w:t xml:space="preserve">, umowa dystrybucji jest zawierana po wskazaniu POB przez </w:t>
            </w:r>
            <w:proofErr w:type="spellStart"/>
            <w:r w:rsidRPr="0078070D">
              <w:t>URDw</w:t>
            </w:r>
            <w:proofErr w:type="spellEnd"/>
            <w:r w:rsidRPr="0078070D">
              <w:t xml:space="preserve">, z którym </w:t>
            </w:r>
            <w:proofErr w:type="spellStart"/>
            <w:r w:rsidRPr="0078070D">
              <w:t>URDw</w:t>
            </w:r>
            <w:proofErr w:type="spellEnd"/>
            <w:r w:rsidRPr="0078070D">
              <w:t xml:space="preserve"> zawarł stosowną umowę.</w:t>
            </w:r>
          </w:p>
        </w:tc>
      </w:tr>
      <w:tr w:rsidR="008B2A03" w:rsidTr="008B2A03">
        <w:tc>
          <w:tcPr>
            <w:tcW w:w="1138" w:type="dxa"/>
          </w:tcPr>
          <w:p w:rsidR="008B2A03" w:rsidRPr="008B2A03" w:rsidRDefault="008B2A03" w:rsidP="004E1F19">
            <w:pPr>
              <w:tabs>
                <w:tab w:val="clear" w:pos="4536"/>
                <w:tab w:val="clear" w:pos="9072"/>
              </w:tabs>
              <w:ind w:firstLine="0"/>
            </w:pPr>
            <w:r>
              <w:t>B.4.</w:t>
            </w:r>
          </w:p>
        </w:tc>
        <w:tc>
          <w:tcPr>
            <w:tcW w:w="8218" w:type="dxa"/>
          </w:tcPr>
          <w:p w:rsidR="008B2A03" w:rsidRDefault="008B2A03" w:rsidP="004E1F19">
            <w:pPr>
              <w:tabs>
                <w:tab w:val="clear" w:pos="4536"/>
                <w:tab w:val="clear" w:pos="9072"/>
              </w:tabs>
              <w:ind w:firstLine="0"/>
            </w:pPr>
            <w:r>
              <w:t>OSD</w:t>
            </w:r>
            <w:r w:rsidRPr="0078070D">
              <w:t xml:space="preserve"> wysyła parafowaną umowę dystrybucji w terminie: </w:t>
            </w:r>
          </w:p>
          <w:p w:rsidR="008B2A03" w:rsidRDefault="008B2A03" w:rsidP="006824F9">
            <w:pPr>
              <w:numPr>
                <w:ilvl w:val="0"/>
                <w:numId w:val="34"/>
              </w:numPr>
              <w:tabs>
                <w:tab w:val="clear" w:pos="4536"/>
                <w:tab w:val="clear" w:pos="9072"/>
              </w:tabs>
              <w:ind w:left="456"/>
            </w:pPr>
            <w:r w:rsidRPr="0078070D">
              <w:t xml:space="preserve">do 7 dni kalendarzowych od dnia złożenia wniosku o zawarcie umowy – dla </w:t>
            </w:r>
            <w:proofErr w:type="spellStart"/>
            <w:r w:rsidRPr="0078070D">
              <w:t>URDo</w:t>
            </w:r>
            <w:proofErr w:type="spellEnd"/>
            <w:r w:rsidRPr="0078070D">
              <w:t xml:space="preserve"> będących odbiorcami energii elektrycznej w gospodarstwach domowych, </w:t>
            </w:r>
          </w:p>
          <w:p w:rsidR="008B2A03" w:rsidRDefault="008B2A03" w:rsidP="006824F9">
            <w:pPr>
              <w:numPr>
                <w:ilvl w:val="0"/>
                <w:numId w:val="34"/>
              </w:numPr>
              <w:tabs>
                <w:tab w:val="clear" w:pos="4536"/>
                <w:tab w:val="clear" w:pos="9072"/>
              </w:tabs>
              <w:ind w:left="456"/>
            </w:pPr>
            <w:r w:rsidRPr="0078070D">
              <w:t xml:space="preserve">do 21 dni kalendarzowych od dnia złożenia wniosku o zawarcie umowy – dla pozostałych </w:t>
            </w:r>
            <w:proofErr w:type="spellStart"/>
            <w:r w:rsidRPr="0078070D">
              <w:t>URDo</w:t>
            </w:r>
            <w:proofErr w:type="spellEnd"/>
            <w:r w:rsidRPr="0078070D">
              <w:t>, lecz nie później niż na 4 dni przed wejściem w życie zmiany sprzedawcy.</w:t>
            </w:r>
          </w:p>
        </w:tc>
      </w:tr>
      <w:tr w:rsidR="008B2A03" w:rsidRPr="0078070D" w:rsidTr="008B2A03">
        <w:tc>
          <w:tcPr>
            <w:tcW w:w="1138" w:type="dxa"/>
          </w:tcPr>
          <w:p w:rsidR="008B2A03" w:rsidRDefault="008B2A03" w:rsidP="004E1F19">
            <w:pPr>
              <w:tabs>
                <w:tab w:val="clear" w:pos="4536"/>
                <w:tab w:val="clear" w:pos="9072"/>
              </w:tabs>
              <w:ind w:firstLine="0"/>
            </w:pPr>
            <w:r>
              <w:t>B.5.</w:t>
            </w:r>
          </w:p>
        </w:tc>
        <w:tc>
          <w:tcPr>
            <w:tcW w:w="8218" w:type="dxa"/>
          </w:tcPr>
          <w:p w:rsidR="008B2A03" w:rsidRPr="0078070D" w:rsidRDefault="008B2A03" w:rsidP="004E1F19">
            <w:pPr>
              <w:tabs>
                <w:tab w:val="clear" w:pos="4536"/>
                <w:tab w:val="clear" w:pos="9072"/>
              </w:tabs>
              <w:ind w:firstLine="0"/>
            </w:pPr>
            <w:r w:rsidRPr="0078070D">
              <w:t>Zasady zgłaszania umów sprzedaży energii elektrycznej, o których mowa w pkt. B.2. określa pkt. D.</w:t>
            </w:r>
          </w:p>
        </w:tc>
      </w:tr>
      <w:tr w:rsidR="008B2A03" w:rsidRPr="0078070D" w:rsidTr="008B2A03">
        <w:tc>
          <w:tcPr>
            <w:tcW w:w="1138" w:type="dxa"/>
          </w:tcPr>
          <w:p w:rsidR="008B2A03" w:rsidRDefault="008B2A03" w:rsidP="004E1F19">
            <w:pPr>
              <w:tabs>
                <w:tab w:val="clear" w:pos="4536"/>
                <w:tab w:val="clear" w:pos="9072"/>
              </w:tabs>
              <w:ind w:firstLine="0"/>
            </w:pPr>
            <w:r>
              <w:t>B.6.</w:t>
            </w:r>
          </w:p>
        </w:tc>
        <w:tc>
          <w:tcPr>
            <w:tcW w:w="8218" w:type="dxa"/>
          </w:tcPr>
          <w:p w:rsidR="008B2A03" w:rsidRPr="0078070D" w:rsidRDefault="008B2A03" w:rsidP="00DC1407">
            <w:pPr>
              <w:tabs>
                <w:tab w:val="clear" w:pos="4536"/>
                <w:tab w:val="clear" w:pos="9072"/>
              </w:tabs>
              <w:ind w:firstLine="0"/>
            </w:pPr>
            <w:r w:rsidRPr="0096377F">
              <w:t xml:space="preserve">W przypadku rozdzielenia przez </w:t>
            </w:r>
            <w:proofErr w:type="spellStart"/>
            <w:r w:rsidRPr="0096377F">
              <w:t>URDo</w:t>
            </w:r>
            <w:proofErr w:type="spellEnd"/>
            <w:r w:rsidRPr="0096377F">
              <w:t xml:space="preserve"> umowy kompleksowej, bez zmiany sprzedawcy energii elektrycznej na oddzielne umowy: umowę sprzedaży i umowę dystrybucji, zawieranie umowy dystrybucji odbywa się przy zachowaniu postanowień pkt. B.2. – B.</w:t>
            </w:r>
            <w:r w:rsidR="00DC1407">
              <w:t>5</w:t>
            </w:r>
            <w:r w:rsidRPr="0096377F">
              <w:t>.</w:t>
            </w:r>
          </w:p>
        </w:tc>
      </w:tr>
      <w:tr w:rsidR="008B2A03" w:rsidRPr="0096377F" w:rsidTr="008B2A03">
        <w:tc>
          <w:tcPr>
            <w:tcW w:w="1138" w:type="dxa"/>
          </w:tcPr>
          <w:p w:rsidR="008B2A03" w:rsidRDefault="008B2A03" w:rsidP="004E1F19">
            <w:pPr>
              <w:tabs>
                <w:tab w:val="clear" w:pos="4536"/>
                <w:tab w:val="clear" w:pos="9072"/>
              </w:tabs>
              <w:ind w:firstLine="0"/>
            </w:pPr>
            <w:r>
              <w:t>B.7.</w:t>
            </w:r>
          </w:p>
        </w:tc>
        <w:tc>
          <w:tcPr>
            <w:tcW w:w="8218" w:type="dxa"/>
          </w:tcPr>
          <w:p w:rsidR="008B2A03" w:rsidRPr="0096377F" w:rsidRDefault="008B2A03" w:rsidP="004E1F19">
            <w:pPr>
              <w:tabs>
                <w:tab w:val="clear" w:pos="4536"/>
                <w:tab w:val="clear" w:pos="9072"/>
              </w:tabs>
              <w:ind w:firstLine="0"/>
            </w:pPr>
            <w:r w:rsidRPr="00722157">
              <w:t xml:space="preserve">W przypadku </w:t>
            </w:r>
            <w:proofErr w:type="spellStart"/>
            <w:r w:rsidRPr="00722157">
              <w:t>URDo</w:t>
            </w:r>
            <w:proofErr w:type="spellEnd"/>
            <w:r w:rsidRPr="00722157">
              <w:t xml:space="preserve"> przyłączanych do sieci dystrybucyjnej </w:t>
            </w:r>
            <w:r w:rsidR="00E45165">
              <w:t>OSD</w:t>
            </w:r>
            <w:r w:rsidRPr="00722157">
              <w:t xml:space="preserve"> lub zmiany </w:t>
            </w:r>
            <w:proofErr w:type="spellStart"/>
            <w:r w:rsidRPr="00722157">
              <w:t>URDo</w:t>
            </w:r>
            <w:proofErr w:type="spellEnd"/>
            <w:r w:rsidRPr="00722157">
              <w:t xml:space="preserve"> dla istniejącego PPE przyłączonego do sieci dystrybucyjnej </w:t>
            </w:r>
            <w:r w:rsidR="00E45165">
              <w:t>OSD</w:t>
            </w:r>
            <w:r w:rsidRPr="00722157">
              <w:t>, zawieranie umowy dystrybucji odbywa się przy zachowaniu postanowień pkt. B.2. – B.6.</w:t>
            </w:r>
          </w:p>
        </w:tc>
      </w:tr>
      <w:tr w:rsidR="008B2A03" w:rsidRPr="00722157" w:rsidTr="008B2A03">
        <w:tc>
          <w:tcPr>
            <w:tcW w:w="1138" w:type="dxa"/>
          </w:tcPr>
          <w:p w:rsidR="008B2A03" w:rsidRDefault="008B2A03" w:rsidP="004E1F19">
            <w:pPr>
              <w:tabs>
                <w:tab w:val="clear" w:pos="4536"/>
                <w:tab w:val="clear" w:pos="9072"/>
              </w:tabs>
              <w:ind w:firstLine="0"/>
            </w:pPr>
            <w:r>
              <w:t>B.8.</w:t>
            </w:r>
          </w:p>
        </w:tc>
        <w:tc>
          <w:tcPr>
            <w:tcW w:w="8218" w:type="dxa"/>
          </w:tcPr>
          <w:p w:rsidR="008B2A03" w:rsidRPr="00722157" w:rsidRDefault="008B2A03" w:rsidP="004E1F19">
            <w:pPr>
              <w:tabs>
                <w:tab w:val="clear" w:pos="4536"/>
                <w:tab w:val="clear" w:pos="9072"/>
              </w:tabs>
              <w:ind w:firstLine="0"/>
            </w:pPr>
            <w:r w:rsidRPr="008021BA">
              <w:t xml:space="preserve">Sprzedawca zawiera umowę kompleksową z </w:t>
            </w:r>
            <w:proofErr w:type="spellStart"/>
            <w:r w:rsidRPr="008021BA">
              <w:t>URDo</w:t>
            </w:r>
            <w:proofErr w:type="spellEnd"/>
            <w:r w:rsidRPr="008021BA">
              <w:t xml:space="preserve"> na podstawie wydanego przez </w:t>
            </w:r>
            <w:r w:rsidR="00E45165">
              <w:t>OSD</w:t>
            </w:r>
            <w:r w:rsidRPr="008021BA">
              <w:t xml:space="preserve"> potwierdzenia możliwości świadczenia usługi dystrybucji energii elektrycznej i określenia parametrów dostaw.</w:t>
            </w:r>
          </w:p>
        </w:tc>
      </w:tr>
      <w:tr w:rsidR="008B2A03" w:rsidRPr="008021BA" w:rsidTr="008B2A03">
        <w:tc>
          <w:tcPr>
            <w:tcW w:w="1138" w:type="dxa"/>
          </w:tcPr>
          <w:p w:rsidR="008B2A03" w:rsidRDefault="008B2A03" w:rsidP="008B2A03">
            <w:pPr>
              <w:tabs>
                <w:tab w:val="clear" w:pos="4536"/>
                <w:tab w:val="clear" w:pos="9072"/>
              </w:tabs>
              <w:ind w:firstLine="0"/>
            </w:pPr>
            <w:r>
              <w:t>B.9.</w:t>
            </w:r>
          </w:p>
        </w:tc>
        <w:tc>
          <w:tcPr>
            <w:tcW w:w="8218" w:type="dxa"/>
          </w:tcPr>
          <w:p w:rsidR="008B2A03" w:rsidRPr="008021BA" w:rsidRDefault="008B2A03" w:rsidP="004E1F19">
            <w:pPr>
              <w:tabs>
                <w:tab w:val="clear" w:pos="4536"/>
                <w:tab w:val="clear" w:pos="9072"/>
              </w:tabs>
              <w:ind w:firstLine="0"/>
            </w:pPr>
            <w:r w:rsidRPr="008021BA">
              <w:t xml:space="preserve">Potwierdzenie możliwości świadczenia usługi dystrybucji energii elektrycznej i określenie parametrów dostaw, o których mowa w pkt. B.9. </w:t>
            </w:r>
            <w:r w:rsidR="00E45165">
              <w:t>OSD</w:t>
            </w:r>
            <w:r>
              <w:t xml:space="preserve"> </w:t>
            </w:r>
            <w:r w:rsidRPr="008021BA">
              <w:t xml:space="preserve">wydaje na wniosek Sprzedawcy w oparciu o dostarczone pełnomocnictwo </w:t>
            </w:r>
            <w:proofErr w:type="spellStart"/>
            <w:r w:rsidRPr="008021BA">
              <w:t>URDo</w:t>
            </w:r>
            <w:proofErr w:type="spellEnd"/>
            <w:r w:rsidRPr="008021BA">
              <w:t>.</w:t>
            </w:r>
          </w:p>
        </w:tc>
      </w:tr>
      <w:tr w:rsidR="00DC1407" w:rsidRPr="008021BA" w:rsidTr="008B2A03">
        <w:tc>
          <w:tcPr>
            <w:tcW w:w="1138" w:type="dxa"/>
          </w:tcPr>
          <w:p w:rsidR="00DC1407" w:rsidRDefault="00F90E76" w:rsidP="008B2A03">
            <w:pPr>
              <w:tabs>
                <w:tab w:val="clear" w:pos="4536"/>
                <w:tab w:val="clear" w:pos="9072"/>
              </w:tabs>
              <w:ind w:firstLine="0"/>
            </w:pPr>
            <w:r>
              <w:lastRenderedPageBreak/>
              <w:t>B.10</w:t>
            </w:r>
            <w:r w:rsidR="00DC1407">
              <w:t>.</w:t>
            </w:r>
          </w:p>
        </w:tc>
        <w:tc>
          <w:tcPr>
            <w:tcW w:w="8218" w:type="dxa"/>
          </w:tcPr>
          <w:p w:rsidR="00DC1407" w:rsidRPr="008021BA" w:rsidRDefault="00DC1407" w:rsidP="00DC1407">
            <w:pPr>
              <w:tabs>
                <w:tab w:val="clear" w:pos="4536"/>
                <w:tab w:val="clear" w:pos="9072"/>
              </w:tabs>
              <w:ind w:firstLine="0"/>
            </w:pPr>
            <w:r>
              <w:t xml:space="preserve">Zasady świadczenia usług dystrybucji energii elektrycznej przez OSD dla URD w gospodarstwach domowych przyłączonych do sieci elektroenergetycznej OSD o napięciu znamionowym do 1 </w:t>
            </w:r>
            <w:proofErr w:type="spellStart"/>
            <w:r>
              <w:t>kV</w:t>
            </w:r>
            <w:proofErr w:type="spellEnd"/>
            <w:r>
              <w:t xml:space="preserve"> posiadających zawarte umowy kompleksowe określa się w GUD-k zawieranej pomiędzy OSD a Sprzedawcą.</w:t>
            </w:r>
          </w:p>
        </w:tc>
      </w:tr>
      <w:tr w:rsidR="00F90E76" w:rsidRPr="008021BA" w:rsidTr="008B2A03">
        <w:tc>
          <w:tcPr>
            <w:tcW w:w="1138" w:type="dxa"/>
          </w:tcPr>
          <w:p w:rsidR="00F90E76" w:rsidRDefault="00F90E76" w:rsidP="008B2A03">
            <w:pPr>
              <w:tabs>
                <w:tab w:val="clear" w:pos="4536"/>
                <w:tab w:val="clear" w:pos="9072"/>
              </w:tabs>
              <w:ind w:firstLine="0"/>
            </w:pPr>
            <w:r>
              <w:t>B.11.</w:t>
            </w:r>
          </w:p>
        </w:tc>
        <w:tc>
          <w:tcPr>
            <w:tcW w:w="8218" w:type="dxa"/>
          </w:tcPr>
          <w:p w:rsidR="00F90E76" w:rsidRDefault="00F90E76" w:rsidP="00F90E76">
            <w:pPr>
              <w:tabs>
                <w:tab w:val="clear" w:pos="4536"/>
                <w:tab w:val="clear" w:pos="9072"/>
              </w:tabs>
              <w:ind w:firstLine="0"/>
            </w:pPr>
            <w:r>
              <w:t xml:space="preserve">W przypadku zawarcia przez URD w gospodarstwie domowym przyłączonym do sieci elektroenergetycznej OSD o napięciu znamionowym do 1 </w:t>
            </w:r>
            <w:proofErr w:type="spellStart"/>
            <w:r>
              <w:t>kV</w:t>
            </w:r>
            <w:proofErr w:type="spellEnd"/>
            <w:r>
              <w:t xml:space="preserve"> z nowym Sprzedawcą umowy kompleksowej, z dniem zmiany sprzedawcy umowa ta w części dotyczącej świadczenia usług dystrybucji energii elektrycznej zastępuje dotychczasową umowę dystrybucyjną, której stroną był ten URD. Dotychczasowa umowa dystrybucyjna ulega z tym dniem rozwiązaniu.</w:t>
            </w:r>
          </w:p>
        </w:tc>
      </w:tr>
    </w:tbl>
    <w:p w:rsidR="00BC0CF2" w:rsidRDefault="00BC0CF2"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Default="007C3AE5" w:rsidP="00BC0CF2">
      <w:pPr>
        <w:tabs>
          <w:tab w:val="left" w:pos="567"/>
        </w:tabs>
        <w:ind w:left="567" w:hanging="567"/>
        <w:rPr>
          <w:b/>
          <w:sz w:val="26"/>
          <w:szCs w:val="26"/>
        </w:rPr>
      </w:pPr>
    </w:p>
    <w:p w:rsidR="007C3AE5" w:rsidRPr="00F8567E" w:rsidRDefault="007C3AE5" w:rsidP="00BC0CF2">
      <w:pPr>
        <w:tabs>
          <w:tab w:val="left" w:pos="567"/>
        </w:tabs>
        <w:ind w:left="567" w:hanging="567"/>
        <w:rPr>
          <w:b/>
          <w:sz w:val="26"/>
          <w:szCs w:val="26"/>
        </w:rPr>
      </w:pPr>
    </w:p>
    <w:p w:rsidR="00BC0CF2" w:rsidRPr="00F8567E" w:rsidRDefault="00BC0CF2" w:rsidP="00BC0CF2">
      <w:pPr>
        <w:tabs>
          <w:tab w:val="left" w:pos="567"/>
        </w:tabs>
        <w:ind w:left="567" w:hanging="567"/>
        <w:rPr>
          <w:b/>
          <w:sz w:val="26"/>
          <w:szCs w:val="26"/>
        </w:rPr>
      </w:pPr>
      <w:r w:rsidRPr="00F8567E">
        <w:rPr>
          <w:b/>
          <w:sz w:val="26"/>
          <w:szCs w:val="26"/>
        </w:rPr>
        <w:lastRenderedPageBreak/>
        <w:t>C.</w:t>
      </w:r>
      <w:r w:rsidRPr="00F8567E">
        <w:rPr>
          <w:b/>
          <w:sz w:val="26"/>
          <w:szCs w:val="26"/>
        </w:rPr>
        <w:tab/>
      </w:r>
      <w:r w:rsidRPr="00F8567E">
        <w:rPr>
          <w:b/>
          <w:sz w:val="26"/>
          <w:szCs w:val="26"/>
        </w:rPr>
        <w:tab/>
        <w:t>ZASADY WYZNACZANIA, PRZEKAZYWANIA I UDOSTĘPNIANIA DANYCH POMIAROWYCH</w:t>
      </w:r>
    </w:p>
    <w:p w:rsidR="00BC0CF2" w:rsidRPr="00F8567E" w:rsidRDefault="00BC0CF2" w:rsidP="00BC0CF2">
      <w:pPr>
        <w:spacing w:before="0"/>
        <w:rPr>
          <w:b/>
        </w:rPr>
      </w:pPr>
    </w:p>
    <w:tbl>
      <w:tblPr>
        <w:tblW w:w="9269" w:type="dxa"/>
        <w:tblInd w:w="-34" w:type="dxa"/>
        <w:tblLayout w:type="fixed"/>
        <w:tblLook w:val="01E0" w:firstRow="1" w:lastRow="1" w:firstColumn="1" w:lastColumn="1" w:noHBand="0" w:noVBand="0"/>
      </w:tblPr>
      <w:tblGrid>
        <w:gridCol w:w="1127"/>
        <w:gridCol w:w="8"/>
        <w:gridCol w:w="8134"/>
      </w:tblGrid>
      <w:tr w:rsidR="00BC0CF2" w:rsidRPr="00F8567E" w:rsidTr="00F021B9">
        <w:trPr>
          <w:trHeight w:val="806"/>
        </w:trPr>
        <w:tc>
          <w:tcPr>
            <w:tcW w:w="9269" w:type="dxa"/>
            <w:gridSpan w:val="3"/>
          </w:tcPr>
          <w:p w:rsidR="00BC0CF2" w:rsidRPr="00F8567E" w:rsidRDefault="00BC0CF2" w:rsidP="00F021B9">
            <w:pPr>
              <w:tabs>
                <w:tab w:val="clear" w:pos="4536"/>
                <w:tab w:val="clear" w:pos="9072"/>
              </w:tabs>
              <w:ind w:left="601" w:hanging="601"/>
              <w:rPr>
                <w:b/>
              </w:rPr>
            </w:pPr>
            <w:r w:rsidRPr="00F8567E">
              <w:rPr>
                <w:b/>
              </w:rPr>
              <w:t>C.1.</w:t>
            </w:r>
            <w:r w:rsidRPr="00F8567E">
              <w:rPr>
                <w:b/>
                <w:sz w:val="26"/>
                <w:szCs w:val="26"/>
              </w:rPr>
              <w:t xml:space="preserve"> </w:t>
            </w:r>
            <w:r w:rsidRPr="00F8567E">
              <w:rPr>
                <w:b/>
                <w:sz w:val="26"/>
                <w:szCs w:val="26"/>
              </w:rPr>
              <w:tab/>
            </w:r>
            <w:r w:rsidRPr="00F8567E">
              <w:rPr>
                <w:b/>
              </w:rPr>
              <w:t>WYZNACZANIE ORAZ PRZEKAZYWANIE DANYCH POMIAROWYCH I POMIAROWO-ROZLICZENIOWYCH.</w:t>
            </w:r>
          </w:p>
        </w:tc>
      </w:tr>
      <w:tr w:rsidR="00BC0CF2" w:rsidRPr="00F8567E" w:rsidTr="00F021B9">
        <w:tc>
          <w:tcPr>
            <w:tcW w:w="1127" w:type="dxa"/>
          </w:tcPr>
          <w:p w:rsidR="00BC0CF2" w:rsidRPr="00F8567E" w:rsidRDefault="00BC0CF2" w:rsidP="00F021B9">
            <w:pPr>
              <w:tabs>
                <w:tab w:val="clear" w:pos="4536"/>
                <w:tab w:val="clear" w:pos="9072"/>
              </w:tabs>
              <w:ind w:firstLine="0"/>
              <w:rPr>
                <w:color w:val="auto"/>
                <w:szCs w:val="24"/>
              </w:rPr>
            </w:pPr>
            <w:r w:rsidRPr="00F8567E">
              <w:rPr>
                <w:color w:val="auto"/>
                <w:szCs w:val="24"/>
              </w:rPr>
              <w:t>C.1.1.</w:t>
            </w:r>
          </w:p>
        </w:tc>
        <w:tc>
          <w:tcPr>
            <w:tcW w:w="8142" w:type="dxa"/>
            <w:gridSpan w:val="2"/>
          </w:tcPr>
          <w:p w:rsidR="00BC0CF2" w:rsidRDefault="00E45165" w:rsidP="00F021B9">
            <w:pPr>
              <w:tabs>
                <w:tab w:val="clear" w:pos="4536"/>
                <w:tab w:val="clear" w:pos="9072"/>
              </w:tabs>
              <w:ind w:firstLine="0"/>
              <w:rPr>
                <w:color w:val="auto"/>
                <w:szCs w:val="24"/>
              </w:rPr>
            </w:pPr>
            <w:r>
              <w:rPr>
                <w:color w:val="auto"/>
                <w:szCs w:val="24"/>
              </w:rPr>
              <w:t>OSD</w:t>
            </w:r>
            <w:r w:rsidR="00BC0CF2" w:rsidRPr="00F8567E">
              <w:rPr>
                <w:color w:val="auto"/>
                <w:szCs w:val="24"/>
              </w:rPr>
              <w:t xml:space="preserve"> </w:t>
            </w:r>
            <w:r w:rsidR="00BC0CF2">
              <w:rPr>
                <w:color w:val="auto"/>
                <w:szCs w:val="24"/>
              </w:rPr>
              <w:t>na obszarze swojego działania administruje danymi pomiarowymi i realizuje zadania</w:t>
            </w:r>
            <w:r w:rsidR="00BC0CF2" w:rsidRPr="00F8567E">
              <w:rPr>
                <w:color w:val="auto"/>
                <w:szCs w:val="24"/>
              </w:rPr>
              <w:t xml:space="preserve"> Operatora Pomiarów</w:t>
            </w:r>
            <w:r w:rsidR="00BC0CF2">
              <w:rPr>
                <w:color w:val="auto"/>
                <w:szCs w:val="24"/>
              </w:rPr>
              <w:t xml:space="preserve">, w zakresie pozyskiwania danych pomiarowych z FPP. </w:t>
            </w:r>
            <w:r>
              <w:rPr>
                <w:color w:val="auto"/>
                <w:szCs w:val="24"/>
              </w:rPr>
              <w:t>OSD</w:t>
            </w:r>
            <w:r w:rsidR="00BC0CF2" w:rsidRPr="00F8567E">
              <w:rPr>
                <w:color w:val="auto"/>
                <w:szCs w:val="24"/>
              </w:rPr>
              <w:t xml:space="preserve"> może zlecić realizację niektórych funkcji Operatora Pomiarów innemu podmiotowi.</w:t>
            </w:r>
          </w:p>
          <w:p w:rsidR="00BC0CF2" w:rsidRPr="00F8567E" w:rsidRDefault="00BC0CF2" w:rsidP="00F021B9">
            <w:pPr>
              <w:tabs>
                <w:tab w:val="clear" w:pos="4536"/>
                <w:tab w:val="clear" w:pos="9072"/>
              </w:tabs>
              <w:ind w:firstLine="0"/>
            </w:pPr>
            <w:r>
              <w:rPr>
                <w:color w:val="auto"/>
                <w:szCs w:val="24"/>
              </w:rPr>
              <w:t xml:space="preserve">Cześć zadań Operatora Pomiarów w zakresie współpracy z OSP, </w:t>
            </w:r>
            <w:r w:rsidR="00E45165">
              <w:rPr>
                <w:color w:val="auto"/>
                <w:szCs w:val="24"/>
              </w:rPr>
              <w:t>OSD</w:t>
            </w:r>
            <w:r>
              <w:rPr>
                <w:color w:val="auto"/>
                <w:szCs w:val="24"/>
              </w:rPr>
              <w:t xml:space="preserve"> zleca w umowie, o której mowa w pkt. A6.</w:t>
            </w:r>
          </w:p>
        </w:tc>
      </w:tr>
      <w:tr w:rsidR="00BC0CF2" w:rsidRPr="00F8567E" w:rsidTr="00F021B9">
        <w:trPr>
          <w:trHeight w:val="5782"/>
        </w:trPr>
        <w:tc>
          <w:tcPr>
            <w:tcW w:w="1127" w:type="dxa"/>
          </w:tcPr>
          <w:p w:rsidR="00BC0CF2" w:rsidRPr="00F8567E" w:rsidRDefault="00BC0CF2" w:rsidP="00F021B9">
            <w:pPr>
              <w:tabs>
                <w:tab w:val="clear" w:pos="4536"/>
                <w:tab w:val="clear" w:pos="9072"/>
              </w:tabs>
              <w:ind w:firstLine="0"/>
            </w:pPr>
            <w:r w:rsidRPr="00F8567E">
              <w:t>C.1.2.</w:t>
            </w:r>
          </w:p>
        </w:tc>
        <w:tc>
          <w:tcPr>
            <w:tcW w:w="8142" w:type="dxa"/>
            <w:gridSpan w:val="2"/>
          </w:tcPr>
          <w:p w:rsidR="00BC0CF2" w:rsidRPr="00F8567E" w:rsidRDefault="00BC0CF2" w:rsidP="00F021B9">
            <w:pPr>
              <w:widowControl w:val="0"/>
              <w:tabs>
                <w:tab w:val="clear" w:pos="4536"/>
                <w:tab w:val="clear" w:pos="9072"/>
              </w:tabs>
              <w:adjustRightInd w:val="0"/>
              <w:ind w:firstLine="0"/>
              <w:textAlignment w:val="baseline"/>
              <w:rPr>
                <w:szCs w:val="24"/>
              </w:rPr>
            </w:pPr>
            <w:r w:rsidRPr="00F8567E">
              <w:rPr>
                <w:szCs w:val="24"/>
              </w:rPr>
              <w:t xml:space="preserve">Administrowanie przez </w:t>
            </w:r>
            <w:r w:rsidR="00E45165">
              <w:rPr>
                <w:color w:val="auto"/>
                <w:szCs w:val="24"/>
              </w:rPr>
              <w:t>OSD</w:t>
            </w:r>
            <w:r w:rsidRPr="00F8567E">
              <w:rPr>
                <w:color w:val="auto"/>
                <w:szCs w:val="24"/>
              </w:rPr>
              <w:t xml:space="preserve"> </w:t>
            </w:r>
            <w:r w:rsidRPr="00F8567E">
              <w:rPr>
                <w:szCs w:val="24"/>
              </w:rPr>
              <w:t>danymi pomiarowymi w obszarze sieci dystrybucyjnej polega na wyznaczaniu ilości dostaw energii dla potrzeb rozliczeń na Rynku Bilansującym, Rynku Detalicznym oraz usług dystrybucyjnych i obejmuje następujące zadania:</w:t>
            </w:r>
          </w:p>
          <w:p w:rsidR="00BC0CF2" w:rsidRPr="00F8567E" w:rsidRDefault="00BC0CF2" w:rsidP="009F630A">
            <w:pPr>
              <w:widowControl w:val="0"/>
              <w:numPr>
                <w:ilvl w:val="0"/>
                <w:numId w:val="7"/>
              </w:numPr>
              <w:tabs>
                <w:tab w:val="clear" w:pos="4536"/>
                <w:tab w:val="clear" w:pos="9072"/>
              </w:tabs>
              <w:adjustRightInd w:val="0"/>
              <w:textAlignment w:val="baseline"/>
              <w:rPr>
                <w:szCs w:val="24"/>
              </w:rPr>
            </w:pPr>
            <w:r>
              <w:t>eksploatację</w:t>
            </w:r>
            <w:r w:rsidRPr="00F8567E">
              <w:t xml:space="preserve"> i rozwój Lokalnego Systemu Pomiarowo-Rozliczeniowego (LSPR), służącego pozyskiwaniu, przetwarzaniu oraz</w:t>
            </w:r>
            <w:r>
              <w:t xml:space="preserve"> zarządzaniu danymi pomiarowymi,</w:t>
            </w:r>
          </w:p>
          <w:p w:rsidR="00BC0CF2" w:rsidRPr="00F8567E" w:rsidRDefault="00BC0CF2" w:rsidP="009F630A">
            <w:pPr>
              <w:widowControl w:val="0"/>
              <w:numPr>
                <w:ilvl w:val="0"/>
                <w:numId w:val="7"/>
              </w:numPr>
              <w:tabs>
                <w:tab w:val="clear" w:pos="4536"/>
                <w:tab w:val="clear" w:pos="9072"/>
              </w:tabs>
              <w:adjustRightInd w:val="0"/>
              <w:textAlignment w:val="baseline"/>
              <w:rPr>
                <w:szCs w:val="24"/>
              </w:rPr>
            </w:pPr>
            <w:r w:rsidRPr="00F8567E">
              <w:rPr>
                <w:szCs w:val="24"/>
              </w:rPr>
              <w:t>akwizycj</w:t>
            </w:r>
            <w:r>
              <w:rPr>
                <w:szCs w:val="24"/>
              </w:rPr>
              <w:t>ę</w:t>
            </w:r>
            <w:r w:rsidRPr="00F8567E">
              <w:rPr>
                <w:szCs w:val="24"/>
              </w:rPr>
              <w:t xml:space="preserve"> danych pomiarowych z układów pomiarowo-rozliczeniowych energii elektrycznej zainstalow</w:t>
            </w:r>
            <w:r>
              <w:rPr>
                <w:szCs w:val="24"/>
              </w:rPr>
              <w:t xml:space="preserve">anych w sieci dystrybucyjnej </w:t>
            </w:r>
            <w:r w:rsidR="00E45165">
              <w:rPr>
                <w:color w:val="auto"/>
                <w:szCs w:val="24"/>
              </w:rPr>
              <w:t>OSD</w:t>
            </w:r>
            <w:r>
              <w:rPr>
                <w:szCs w:val="24"/>
              </w:rPr>
              <w:t>,</w:t>
            </w:r>
          </w:p>
          <w:p w:rsidR="00BC0CF2" w:rsidRPr="00F8567E" w:rsidRDefault="00BC0CF2" w:rsidP="009F630A">
            <w:pPr>
              <w:widowControl w:val="0"/>
              <w:numPr>
                <w:ilvl w:val="0"/>
                <w:numId w:val="7"/>
              </w:numPr>
              <w:tabs>
                <w:tab w:val="clear" w:pos="4536"/>
                <w:tab w:val="clear" w:pos="9072"/>
              </w:tabs>
              <w:adjustRightInd w:val="0"/>
              <w:textAlignment w:val="baseline"/>
              <w:rPr>
                <w:szCs w:val="24"/>
              </w:rPr>
            </w:pPr>
            <w:r w:rsidRPr="00F8567E">
              <w:rPr>
                <w:szCs w:val="24"/>
              </w:rPr>
              <w:t>wyznaczanie ilości dostaw energii elektrycznej w poszczególnych rzeczywistych miejscach dostarczania energii elektrycznej,</w:t>
            </w:r>
          </w:p>
          <w:p w:rsidR="00BC0CF2" w:rsidRPr="00F8567E" w:rsidRDefault="00BC0CF2" w:rsidP="009F630A">
            <w:pPr>
              <w:widowControl w:val="0"/>
              <w:numPr>
                <w:ilvl w:val="0"/>
                <w:numId w:val="7"/>
              </w:numPr>
              <w:tabs>
                <w:tab w:val="clear" w:pos="4536"/>
                <w:tab w:val="clear" w:pos="9072"/>
              </w:tabs>
              <w:adjustRightInd w:val="0"/>
              <w:textAlignment w:val="baseline"/>
              <w:rPr>
                <w:szCs w:val="24"/>
              </w:rPr>
            </w:pPr>
            <w:r>
              <w:rPr>
                <w:szCs w:val="24"/>
              </w:rPr>
              <w:t xml:space="preserve">przekazywanie do </w:t>
            </w:r>
            <w:r w:rsidRPr="00F8567E">
              <w:rPr>
                <w:szCs w:val="24"/>
              </w:rPr>
              <w:t>OSP</w:t>
            </w:r>
            <w:r>
              <w:rPr>
                <w:szCs w:val="24"/>
              </w:rPr>
              <w:t xml:space="preserve"> poprzez OP-</w:t>
            </w:r>
            <w:proofErr w:type="spellStart"/>
            <w:r>
              <w:rPr>
                <w:szCs w:val="24"/>
              </w:rPr>
              <w:t>OSDp</w:t>
            </w:r>
            <w:proofErr w:type="spellEnd"/>
            <w:r w:rsidRPr="00F8567E">
              <w:rPr>
                <w:szCs w:val="24"/>
              </w:rPr>
              <w:t xml:space="preserve">, </w:t>
            </w:r>
            <w:proofErr w:type="spellStart"/>
            <w:r w:rsidRPr="00F8567E">
              <w:rPr>
                <w:szCs w:val="24"/>
              </w:rPr>
              <w:t>OSD</w:t>
            </w:r>
            <w:r>
              <w:rPr>
                <w:szCs w:val="24"/>
              </w:rPr>
              <w:t>p</w:t>
            </w:r>
            <w:proofErr w:type="spellEnd"/>
            <w:r>
              <w:rPr>
                <w:szCs w:val="24"/>
              </w:rPr>
              <w:t xml:space="preserve"> (do których </w:t>
            </w:r>
            <w:r w:rsidR="00E45165">
              <w:rPr>
                <w:szCs w:val="24"/>
              </w:rPr>
              <w:t>OSD</w:t>
            </w:r>
            <w:r>
              <w:rPr>
                <w:szCs w:val="24"/>
              </w:rPr>
              <w:t xml:space="preserve"> posiada przyłączone miejsca dostarczania)</w:t>
            </w:r>
            <w:r w:rsidRPr="00F8567E">
              <w:rPr>
                <w:szCs w:val="24"/>
              </w:rPr>
              <w:t>, POB, sprzedawcom oraz URD danych pomiarowych i pomiarowo-rozliczeniowych,</w:t>
            </w:r>
          </w:p>
          <w:p w:rsidR="00BC0CF2" w:rsidRPr="00F8567E" w:rsidRDefault="00BC0CF2" w:rsidP="009F630A">
            <w:pPr>
              <w:numPr>
                <w:ilvl w:val="0"/>
                <w:numId w:val="7"/>
              </w:numPr>
              <w:tabs>
                <w:tab w:val="clear" w:pos="4536"/>
                <w:tab w:val="clear" w:pos="9072"/>
              </w:tabs>
            </w:pPr>
            <w:r w:rsidRPr="00F8567E">
              <w:rPr>
                <w:szCs w:val="24"/>
              </w:rPr>
              <w:t xml:space="preserve">rozpatrywanie reklamacji, zgłaszanych przez podmioty wymienione w </w:t>
            </w:r>
            <w:proofErr w:type="spellStart"/>
            <w:r w:rsidRPr="00F8567E">
              <w:rPr>
                <w:szCs w:val="24"/>
              </w:rPr>
              <w:t>ppkt</w:t>
            </w:r>
            <w:proofErr w:type="spellEnd"/>
            <w:r w:rsidRPr="00F8567E">
              <w:rPr>
                <w:szCs w:val="24"/>
              </w:rPr>
              <w:t>. </w:t>
            </w:r>
            <w:r>
              <w:rPr>
                <w:szCs w:val="24"/>
              </w:rPr>
              <w:t>d</w:t>
            </w:r>
            <w:r w:rsidRPr="00F8567E">
              <w:rPr>
                <w:szCs w:val="24"/>
              </w:rPr>
              <w:t>), dotyczących przyporządkowanych im ilości dostarczanej energii elektrycznej i wprowadzanie niezbędnych korekt w wymagających tego przypadkach</w:t>
            </w:r>
            <w:r w:rsidRPr="00F8567E">
              <w:t>.</w:t>
            </w:r>
          </w:p>
        </w:tc>
      </w:tr>
      <w:tr w:rsidR="00BC0CF2" w:rsidRPr="00F8567E" w:rsidTr="00F021B9">
        <w:trPr>
          <w:trHeight w:val="727"/>
        </w:trPr>
        <w:tc>
          <w:tcPr>
            <w:tcW w:w="1127" w:type="dxa"/>
          </w:tcPr>
          <w:p w:rsidR="00BC0CF2" w:rsidRPr="00F8567E" w:rsidRDefault="00BC0CF2" w:rsidP="00F021B9">
            <w:pPr>
              <w:tabs>
                <w:tab w:val="clear" w:pos="4536"/>
                <w:tab w:val="clear" w:pos="9072"/>
              </w:tabs>
              <w:ind w:firstLine="0"/>
            </w:pPr>
            <w:r w:rsidRPr="00F8567E">
              <w:t>C.1.3.</w:t>
            </w:r>
          </w:p>
        </w:tc>
        <w:tc>
          <w:tcPr>
            <w:tcW w:w="8142" w:type="dxa"/>
            <w:gridSpan w:val="2"/>
          </w:tcPr>
          <w:p w:rsidR="00BC0CF2" w:rsidRPr="00F8567E" w:rsidRDefault="00E45165" w:rsidP="00F021B9">
            <w:pPr>
              <w:tabs>
                <w:tab w:val="clear" w:pos="4536"/>
                <w:tab w:val="clear" w:pos="9072"/>
              </w:tabs>
              <w:ind w:firstLine="0"/>
            </w:pPr>
            <w:r>
              <w:rPr>
                <w:color w:val="auto"/>
                <w:szCs w:val="24"/>
              </w:rPr>
              <w:t>OSD</w:t>
            </w:r>
            <w:r w:rsidR="00BC0CF2" w:rsidRPr="00F8567E">
              <w:rPr>
                <w:color w:val="auto"/>
                <w:szCs w:val="24"/>
              </w:rPr>
              <w:t xml:space="preserve"> </w:t>
            </w:r>
            <w:r w:rsidR="00BC0CF2" w:rsidRPr="00F8567E">
              <w:t xml:space="preserve">pozyskuje dane pomiarowe i wyznacza rzeczywiste ilości dostaw energii elektrycznej poprzez Lokalny System Pomiarowo-Rozliczeniowy (LSPR). </w:t>
            </w:r>
            <w:r>
              <w:rPr>
                <w:color w:val="auto"/>
                <w:szCs w:val="24"/>
              </w:rPr>
              <w:t>OSD</w:t>
            </w:r>
            <w:r w:rsidR="00BC0CF2" w:rsidRPr="00F8567E">
              <w:rPr>
                <w:color w:val="auto"/>
                <w:szCs w:val="24"/>
              </w:rPr>
              <w:t xml:space="preserve"> </w:t>
            </w:r>
            <w:r w:rsidR="00BC0CF2" w:rsidRPr="00F8567E">
              <w:t>pozyskuje te dane w postaci:</w:t>
            </w:r>
          </w:p>
          <w:p w:rsidR="00BC0CF2" w:rsidRPr="00F8567E" w:rsidRDefault="00BC0CF2" w:rsidP="009F630A">
            <w:pPr>
              <w:numPr>
                <w:ilvl w:val="0"/>
                <w:numId w:val="24"/>
              </w:numPr>
              <w:tabs>
                <w:tab w:val="clear" w:pos="4536"/>
                <w:tab w:val="clear" w:pos="9072"/>
              </w:tabs>
              <w:rPr>
                <w:szCs w:val="24"/>
              </w:rPr>
            </w:pPr>
            <w:r w:rsidRPr="00F8567E">
              <w:rPr>
                <w:szCs w:val="24"/>
              </w:rPr>
              <w:t xml:space="preserve">godzinowego </w:t>
            </w:r>
            <w:r>
              <w:rPr>
                <w:szCs w:val="24"/>
              </w:rPr>
              <w:t>pobrania/oddania</w:t>
            </w:r>
            <w:r w:rsidRPr="00F8567E">
              <w:rPr>
                <w:szCs w:val="24"/>
              </w:rPr>
              <w:t xml:space="preserve"> energii przez URD wyznaczonego na podstawie profilu energii pochodzącego z liczników – dane </w:t>
            </w:r>
            <w:r>
              <w:rPr>
                <w:szCs w:val="24"/>
              </w:rPr>
              <w:t>godzinowe</w:t>
            </w:r>
          </w:p>
          <w:p w:rsidR="00BC0CF2" w:rsidRPr="00F8567E" w:rsidRDefault="00BC0CF2" w:rsidP="009F630A">
            <w:pPr>
              <w:numPr>
                <w:ilvl w:val="0"/>
                <w:numId w:val="24"/>
              </w:numPr>
              <w:tabs>
                <w:tab w:val="clear" w:pos="4536"/>
                <w:tab w:val="clear" w:pos="9072"/>
              </w:tabs>
              <w:rPr>
                <w:szCs w:val="24"/>
              </w:rPr>
            </w:pPr>
            <w:r w:rsidRPr="00F8567E">
              <w:rPr>
                <w:szCs w:val="24"/>
              </w:rPr>
              <w:t>okresowych stanów (wskazań) liczydeł liczników energii.</w:t>
            </w:r>
          </w:p>
          <w:p w:rsidR="00BC0CF2" w:rsidRPr="00F8567E" w:rsidRDefault="00EA5262" w:rsidP="00F021B9">
            <w:pPr>
              <w:tabs>
                <w:tab w:val="clear" w:pos="4536"/>
                <w:tab w:val="clear" w:pos="9072"/>
              </w:tabs>
              <w:ind w:firstLine="0"/>
              <w:rPr>
                <w:color w:val="auto"/>
              </w:rPr>
            </w:pPr>
            <w:r>
              <w:rPr>
                <w:bCs/>
                <w:color w:val="auto"/>
              </w:rPr>
              <w:t xml:space="preserve">Dane pomiarowe są pozyskiwane z dokładnością, wynikającą z własności urządzeń pomiarowych i LPSR. </w:t>
            </w:r>
            <w:r w:rsidR="00BC0CF2" w:rsidRPr="00F8567E">
              <w:rPr>
                <w:bCs/>
                <w:color w:val="auto"/>
              </w:rPr>
              <w:t>Ilości energii, które ze względu na dokładność nie zostały zarejestrowane w okresie rozliczeniowym powinny zostać przeniesion</w:t>
            </w:r>
            <w:r w:rsidR="00BC0CF2">
              <w:rPr>
                <w:bCs/>
                <w:color w:val="auto"/>
              </w:rPr>
              <w:t>e</w:t>
            </w:r>
            <w:r w:rsidR="00BC0CF2" w:rsidRPr="00F8567E">
              <w:rPr>
                <w:bCs/>
                <w:color w:val="auto"/>
              </w:rPr>
              <w:t xml:space="preserve"> do następnego okresu.</w:t>
            </w:r>
          </w:p>
        </w:tc>
      </w:tr>
      <w:tr w:rsidR="00BC0CF2" w:rsidRPr="00F8567E" w:rsidTr="00F021B9">
        <w:trPr>
          <w:trHeight w:val="727"/>
        </w:trPr>
        <w:tc>
          <w:tcPr>
            <w:tcW w:w="1127" w:type="dxa"/>
          </w:tcPr>
          <w:p w:rsidR="00BC0CF2" w:rsidRPr="00F8567E" w:rsidRDefault="00BC0CF2" w:rsidP="00F021B9">
            <w:pPr>
              <w:tabs>
                <w:tab w:val="clear" w:pos="4536"/>
                <w:tab w:val="clear" w:pos="9072"/>
              </w:tabs>
              <w:ind w:firstLine="0"/>
            </w:pPr>
          </w:p>
        </w:tc>
        <w:tc>
          <w:tcPr>
            <w:tcW w:w="8142" w:type="dxa"/>
            <w:gridSpan w:val="2"/>
          </w:tcPr>
          <w:p w:rsidR="00BC0CF2" w:rsidRPr="00F8567E" w:rsidRDefault="00BC0CF2" w:rsidP="00F021B9">
            <w:pPr>
              <w:tabs>
                <w:tab w:val="clear" w:pos="4536"/>
                <w:tab w:val="clear" w:pos="9072"/>
                <w:tab w:val="left" w:pos="292"/>
              </w:tabs>
              <w:ind w:left="325" w:hanging="325"/>
            </w:pPr>
            <w:r w:rsidRPr="00F8567E">
              <w:t>Dane pomiarowe</w:t>
            </w:r>
            <w:r>
              <w:t>,</w:t>
            </w:r>
            <w:r w:rsidRPr="00F8567E">
              <w:t xml:space="preserve"> o których mowa:</w:t>
            </w:r>
          </w:p>
          <w:p w:rsidR="00BC0CF2" w:rsidRPr="007C3AE5" w:rsidRDefault="00BC0CF2" w:rsidP="007C3AE5">
            <w:pPr>
              <w:numPr>
                <w:ilvl w:val="0"/>
                <w:numId w:val="25"/>
              </w:numPr>
              <w:tabs>
                <w:tab w:val="clear" w:pos="4536"/>
                <w:tab w:val="clear" w:pos="9072"/>
              </w:tabs>
              <w:rPr>
                <w:szCs w:val="24"/>
              </w:rPr>
            </w:pPr>
            <w:r w:rsidRPr="007C3AE5">
              <w:rPr>
                <w:szCs w:val="24"/>
              </w:rPr>
              <w:t xml:space="preserve">w </w:t>
            </w:r>
            <w:proofErr w:type="spellStart"/>
            <w:r w:rsidRPr="007C3AE5">
              <w:rPr>
                <w:szCs w:val="24"/>
              </w:rPr>
              <w:t>ppkt</w:t>
            </w:r>
            <w:proofErr w:type="spellEnd"/>
            <w:r w:rsidRPr="007C3AE5">
              <w:rPr>
                <w:szCs w:val="24"/>
              </w:rPr>
              <w:t xml:space="preserve">. a), </w:t>
            </w:r>
            <w:r w:rsidR="00E45165" w:rsidRPr="007C3AE5">
              <w:rPr>
                <w:color w:val="auto"/>
                <w:szCs w:val="24"/>
              </w:rPr>
              <w:t>OSD</w:t>
            </w:r>
            <w:r w:rsidRPr="007C3AE5">
              <w:rPr>
                <w:color w:val="auto"/>
                <w:szCs w:val="24"/>
              </w:rPr>
              <w:t xml:space="preserve"> </w:t>
            </w:r>
            <w:r w:rsidRPr="007C3AE5">
              <w:rPr>
                <w:szCs w:val="24"/>
              </w:rPr>
              <w:t>pozyskuje w zależności od technicznych możliwości ich pozyskania, jednak nie rzadziej niż 1 raz w okresie rozliczeniowym,</w:t>
            </w:r>
            <w:r w:rsidR="007C3AE5" w:rsidRPr="007C3AE5">
              <w:rPr>
                <w:szCs w:val="24"/>
              </w:rPr>
              <w:t xml:space="preserve"> oraz nie rzadziej niż 1 raz w okresie rozliczeniowym usług dystrybucyjnych w przypadku układów pomiarowo-rozliczeniowych nie posiadających zdalnej transmisji danych pomiarowych</w:t>
            </w:r>
            <w:r w:rsidR="007C3AE5">
              <w:rPr>
                <w:szCs w:val="24"/>
              </w:rPr>
              <w:t>,</w:t>
            </w:r>
          </w:p>
          <w:p w:rsidR="00BC0CF2" w:rsidRPr="00F8567E" w:rsidRDefault="00BC0CF2" w:rsidP="009F630A">
            <w:pPr>
              <w:numPr>
                <w:ilvl w:val="0"/>
                <w:numId w:val="25"/>
              </w:numPr>
              <w:tabs>
                <w:tab w:val="clear" w:pos="4536"/>
                <w:tab w:val="clear" w:pos="9072"/>
              </w:tabs>
            </w:pPr>
            <w:r w:rsidRPr="00F8567E">
              <w:rPr>
                <w:szCs w:val="24"/>
              </w:rPr>
              <w:t xml:space="preserve">w </w:t>
            </w:r>
            <w:proofErr w:type="spellStart"/>
            <w:r>
              <w:rPr>
                <w:szCs w:val="24"/>
              </w:rPr>
              <w:t>p</w:t>
            </w:r>
            <w:r w:rsidRPr="00F8567E">
              <w:rPr>
                <w:szCs w:val="24"/>
              </w:rPr>
              <w:t>pkt</w:t>
            </w:r>
            <w:proofErr w:type="spellEnd"/>
            <w:r w:rsidRPr="00F8567E">
              <w:rPr>
                <w:szCs w:val="24"/>
              </w:rPr>
              <w:t>.</w:t>
            </w:r>
            <w:r>
              <w:rPr>
                <w:szCs w:val="24"/>
              </w:rPr>
              <w:t xml:space="preserve"> </w:t>
            </w:r>
            <w:r w:rsidRPr="00F8567E">
              <w:rPr>
                <w:szCs w:val="24"/>
              </w:rPr>
              <w:t>b)</w:t>
            </w:r>
            <w:r>
              <w:rPr>
                <w:szCs w:val="24"/>
              </w:rPr>
              <w:t>,</w:t>
            </w:r>
            <w:r w:rsidRPr="00F8567E">
              <w:rPr>
                <w:szCs w:val="24"/>
              </w:rPr>
              <w:t xml:space="preserve"> </w:t>
            </w:r>
            <w:r w:rsidR="00E45165">
              <w:rPr>
                <w:color w:val="auto"/>
                <w:szCs w:val="24"/>
              </w:rPr>
              <w:t>OSD</w:t>
            </w:r>
            <w:r w:rsidRPr="00F8567E">
              <w:rPr>
                <w:color w:val="auto"/>
                <w:szCs w:val="24"/>
              </w:rPr>
              <w:t xml:space="preserve"> </w:t>
            </w:r>
            <w:r w:rsidRPr="00F8567E">
              <w:rPr>
                <w:szCs w:val="24"/>
              </w:rPr>
              <w:t>pozyskuje</w:t>
            </w:r>
            <w:r w:rsidRPr="00F8567E">
              <w:t xml:space="preserve"> w cyklach zgodnych z okresem rozliczeniowym usług</w:t>
            </w:r>
            <w:r>
              <w:t>i</w:t>
            </w:r>
            <w:r w:rsidRPr="00F8567E">
              <w:t xml:space="preserve"> dystrybucji energii elektrycznej będąc</w:t>
            </w:r>
            <w:r>
              <w:t>e</w:t>
            </w:r>
            <w:r w:rsidRPr="00F8567E">
              <w:t xml:space="preserve"> przedmiotem umów dystrybucyjnych zawartych pomiędzy </w:t>
            </w:r>
            <w:r w:rsidR="00E45165">
              <w:rPr>
                <w:color w:val="auto"/>
                <w:szCs w:val="24"/>
              </w:rPr>
              <w:t>OSD</w:t>
            </w:r>
            <w:r w:rsidRPr="00F8567E">
              <w:t>, a URD</w:t>
            </w:r>
            <w:r w:rsidR="00596D2E">
              <w:t xml:space="preserve"> lub umów kompleksowych zawartych pomiędzy sprzedawcą a URD w gospodarstwach domowych</w:t>
            </w:r>
            <w:r w:rsidRPr="00F8567E">
              <w:t xml:space="preserve">. Okres rozliczeniowy wynika z przyjętego przez </w:t>
            </w:r>
            <w:r w:rsidR="00E45165">
              <w:rPr>
                <w:color w:val="auto"/>
                <w:szCs w:val="24"/>
              </w:rPr>
              <w:t>OSD</w:t>
            </w:r>
            <w:r w:rsidRPr="00F8567E">
              <w:rPr>
                <w:color w:val="auto"/>
                <w:szCs w:val="24"/>
              </w:rPr>
              <w:t xml:space="preserve"> </w:t>
            </w:r>
            <w:r w:rsidRPr="00F8567E">
              <w:t>harmonogramu odczytów wskazań układów pomiarowo-rozliczeniowych.</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C.1.4.</w:t>
            </w:r>
          </w:p>
        </w:tc>
        <w:tc>
          <w:tcPr>
            <w:tcW w:w="8142" w:type="dxa"/>
            <w:gridSpan w:val="2"/>
          </w:tcPr>
          <w:p w:rsidR="00BC0CF2" w:rsidRPr="00F8567E" w:rsidRDefault="00E45165" w:rsidP="00F021B9">
            <w:pPr>
              <w:tabs>
                <w:tab w:val="clear" w:pos="4536"/>
                <w:tab w:val="clear" w:pos="9072"/>
              </w:tabs>
              <w:ind w:firstLine="0"/>
            </w:pPr>
            <w:r>
              <w:rPr>
                <w:color w:val="auto"/>
                <w:szCs w:val="24"/>
              </w:rPr>
              <w:t>OSD</w:t>
            </w:r>
            <w:r w:rsidR="00BC0CF2" w:rsidRPr="00F8567E">
              <w:rPr>
                <w:color w:val="auto"/>
                <w:szCs w:val="24"/>
              </w:rPr>
              <w:t xml:space="preserve"> </w:t>
            </w:r>
            <w:r w:rsidR="00BC0CF2" w:rsidRPr="00F8567E">
              <w:t>wyznacza rzeczywiste godzinowe ilości energii, o których mowa w pkt. C.1.2.c) i C.1.2.d), w podziale na energię pobraną z sieci i oddaną do sieci dystrybucyjnej.</w:t>
            </w:r>
          </w:p>
        </w:tc>
      </w:tr>
      <w:tr w:rsidR="00BC0CF2" w:rsidRPr="00F8567E" w:rsidTr="00F021B9">
        <w:trPr>
          <w:trHeight w:val="356"/>
        </w:trPr>
        <w:tc>
          <w:tcPr>
            <w:tcW w:w="1127" w:type="dxa"/>
          </w:tcPr>
          <w:p w:rsidR="00BC0CF2" w:rsidRPr="00F8567E" w:rsidRDefault="00BC0CF2" w:rsidP="00F021B9">
            <w:pPr>
              <w:tabs>
                <w:tab w:val="clear" w:pos="4536"/>
                <w:tab w:val="clear" w:pos="9072"/>
              </w:tabs>
              <w:ind w:firstLine="0"/>
            </w:pPr>
            <w:r w:rsidRPr="00F8567E">
              <w:t>C.1.5.</w:t>
            </w:r>
          </w:p>
        </w:tc>
        <w:tc>
          <w:tcPr>
            <w:tcW w:w="8142" w:type="dxa"/>
            <w:gridSpan w:val="2"/>
          </w:tcPr>
          <w:p w:rsidR="00BC0CF2" w:rsidRPr="00F8567E" w:rsidRDefault="00E45165" w:rsidP="00F021B9">
            <w:pPr>
              <w:tabs>
                <w:tab w:val="clear" w:pos="4536"/>
                <w:tab w:val="clear" w:pos="9072"/>
              </w:tabs>
              <w:ind w:firstLine="0"/>
            </w:pPr>
            <w:r>
              <w:rPr>
                <w:color w:val="auto"/>
                <w:szCs w:val="24"/>
              </w:rPr>
              <w:t>OSD</w:t>
            </w:r>
            <w:r w:rsidR="00BC0CF2" w:rsidRPr="00F8567E">
              <w:rPr>
                <w:color w:val="auto"/>
                <w:szCs w:val="24"/>
              </w:rPr>
              <w:t xml:space="preserve"> </w:t>
            </w:r>
            <w:r w:rsidR="00BC0CF2" w:rsidRPr="00F8567E">
              <w:t>wyznacza rzeczywiste ilości energii wynikające z fizycznych dostaw energii elektrycznej w sieci dystrybucyjnej na podstawie</w:t>
            </w:r>
            <w:r w:rsidR="00BC0CF2">
              <w:t xml:space="preserve"> jednego z poniższych wariantów</w:t>
            </w:r>
            <w:r w:rsidR="00BC0CF2" w:rsidRPr="00F8567E">
              <w:t>:</w:t>
            </w:r>
          </w:p>
          <w:p w:rsidR="00BC0CF2" w:rsidRPr="00F8567E" w:rsidRDefault="00BC0CF2" w:rsidP="009F630A">
            <w:pPr>
              <w:numPr>
                <w:ilvl w:val="0"/>
                <w:numId w:val="6"/>
              </w:numPr>
              <w:tabs>
                <w:tab w:val="clear" w:pos="4536"/>
                <w:tab w:val="clear" w:pos="9072"/>
              </w:tabs>
            </w:pPr>
            <w:r w:rsidRPr="00F8567E">
              <w:t>uzyskanych danych pomiarowych z fizycznych punktów pomiarowych</w:t>
            </w:r>
            <w:r w:rsidR="004E1F19">
              <w:t xml:space="preserve"> lub</w:t>
            </w:r>
            <w:r>
              <w:t>,</w:t>
            </w:r>
          </w:p>
          <w:p w:rsidR="00BC0CF2" w:rsidRPr="00F8567E" w:rsidRDefault="00BC0CF2" w:rsidP="009F630A">
            <w:pPr>
              <w:numPr>
                <w:ilvl w:val="0"/>
                <w:numId w:val="6"/>
              </w:numPr>
              <w:tabs>
                <w:tab w:val="clear" w:pos="4536"/>
                <w:tab w:val="clear" w:pos="9072"/>
              </w:tabs>
            </w:pPr>
            <w:r w:rsidRPr="00F8567E">
              <w:rPr>
                <w:color w:val="auto"/>
              </w:rPr>
              <w:t xml:space="preserve">danych szacunkowych, wyznaczonych na podstawie danych historycznych oraz w oparciu o zasady określone w niniejszej </w:t>
            </w:r>
            <w:proofErr w:type="spellStart"/>
            <w:r w:rsidRPr="00F8567E">
              <w:rPr>
                <w:color w:val="auto"/>
              </w:rPr>
              <w:t>IRiESD</w:t>
            </w:r>
            <w:proofErr w:type="spellEnd"/>
            <w:r w:rsidRPr="00F8567E">
              <w:rPr>
                <w:color w:val="auto"/>
              </w:rPr>
              <w:t>, w przypadku awarii układu pomiarowego lub systemu transmisji danych</w:t>
            </w:r>
            <w:r w:rsidR="004E1F19">
              <w:rPr>
                <w:color w:val="auto"/>
              </w:rPr>
              <w:t xml:space="preserve"> ;</w:t>
            </w:r>
            <w:proofErr w:type="spellStart"/>
            <w:r w:rsidR="004E1F19">
              <w:rPr>
                <w:color w:val="auto"/>
              </w:rPr>
              <w:t>ub</w:t>
            </w:r>
            <w:proofErr w:type="spellEnd"/>
            <w:r w:rsidR="004E1F19">
              <w:rPr>
                <w:color w:val="auto"/>
              </w:rPr>
              <w:t xml:space="preserve"> </w:t>
            </w:r>
            <w:r>
              <w:rPr>
                <w:color w:val="auto"/>
              </w:rPr>
              <w:t>,</w:t>
            </w:r>
          </w:p>
          <w:p w:rsidR="00BC0CF2" w:rsidRPr="00F8567E" w:rsidRDefault="00BC0CF2" w:rsidP="009F630A">
            <w:pPr>
              <w:numPr>
                <w:ilvl w:val="0"/>
                <w:numId w:val="6"/>
              </w:numPr>
              <w:tabs>
                <w:tab w:val="clear" w:pos="4536"/>
                <w:tab w:val="clear" w:pos="9072"/>
              </w:tabs>
            </w:pPr>
            <w:r w:rsidRPr="00F8567E">
              <w:rPr>
                <w:color w:val="auto"/>
              </w:rPr>
              <w:t>danych szacunkowych w przypadku br</w:t>
            </w:r>
            <w:r>
              <w:rPr>
                <w:color w:val="auto"/>
              </w:rPr>
              <w:t>aku układu transmisji danych</w:t>
            </w:r>
            <w:r w:rsidR="004E1F19">
              <w:rPr>
                <w:color w:val="auto"/>
              </w:rPr>
              <w:t xml:space="preserve"> lub</w:t>
            </w:r>
            <w:r w:rsidRPr="00F8567E">
              <w:rPr>
                <w:color w:val="auto"/>
              </w:rPr>
              <w:t>,</w:t>
            </w:r>
          </w:p>
          <w:p w:rsidR="00BC0CF2" w:rsidRPr="00F8567E" w:rsidRDefault="00BC0CF2" w:rsidP="009F630A">
            <w:pPr>
              <w:numPr>
                <w:ilvl w:val="0"/>
                <w:numId w:val="6"/>
              </w:numPr>
              <w:tabs>
                <w:tab w:val="clear" w:pos="4536"/>
                <w:tab w:val="clear" w:pos="9072"/>
              </w:tabs>
            </w:pPr>
            <w:r w:rsidRPr="00F8567E">
              <w:rPr>
                <w:color w:val="auto"/>
              </w:rPr>
              <w:t xml:space="preserve">standardowych profili zużycia (o którym mowa w rozdziale G.), wartości energii wyznaczonych w sposób określony w </w:t>
            </w:r>
            <w:proofErr w:type="spellStart"/>
            <w:r w:rsidRPr="00F8567E">
              <w:rPr>
                <w:color w:val="auto"/>
              </w:rPr>
              <w:t>ppkt</w:t>
            </w:r>
            <w:proofErr w:type="spellEnd"/>
            <w:r w:rsidRPr="00F8567E">
              <w:rPr>
                <w:color w:val="auto"/>
              </w:rPr>
              <w:t xml:space="preserve">. a) i b) </w:t>
            </w:r>
            <w:r w:rsidRPr="00F8567E">
              <w:t>oraz algorytmów agregacji</w:t>
            </w:r>
            <w:r w:rsidRPr="00F8567E">
              <w:rPr>
                <w:color w:val="auto"/>
              </w:rPr>
              <w:t xml:space="preserve"> dla tych punktów poboru z sieci dystrybucyjnej, którym został przyporządkowany standardowy profil zużycia. </w:t>
            </w:r>
          </w:p>
        </w:tc>
      </w:tr>
      <w:tr w:rsidR="00BC0CF2" w:rsidRPr="00F8567E" w:rsidTr="00F021B9">
        <w:trPr>
          <w:trHeight w:val="1342"/>
        </w:trPr>
        <w:tc>
          <w:tcPr>
            <w:tcW w:w="1127" w:type="dxa"/>
          </w:tcPr>
          <w:p w:rsidR="00BC0CF2" w:rsidRPr="00F8567E" w:rsidRDefault="00BC0CF2" w:rsidP="00F021B9">
            <w:pPr>
              <w:tabs>
                <w:tab w:val="clear" w:pos="4536"/>
                <w:tab w:val="clear" w:pos="9072"/>
              </w:tabs>
              <w:ind w:firstLine="0"/>
            </w:pPr>
            <w:r w:rsidRPr="00F8567E">
              <w:t>C.1.6.</w:t>
            </w:r>
          </w:p>
        </w:tc>
        <w:tc>
          <w:tcPr>
            <w:tcW w:w="8142" w:type="dxa"/>
            <w:gridSpan w:val="2"/>
          </w:tcPr>
          <w:p w:rsidR="00BC0CF2" w:rsidRPr="00F8567E" w:rsidRDefault="00BC0CF2" w:rsidP="00F021B9">
            <w:pPr>
              <w:pStyle w:val="styl0"/>
              <w:spacing w:before="120"/>
            </w:pPr>
            <w:r w:rsidRPr="00F8567E">
              <w:t>Do określenia ilości energii elektrycznej wprowadzanej do sieci lub pobranej z sieci wykorzystuje się w pierwszej kolejności podstawowe układy pomiarowo-rozliczeniowe. W przypadku ich awarii lub wadliwego działania w następnej kolejności wykorzystywane są rezerwowe układy pomiarowo-rozliczeniowe.</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C.1.7.</w:t>
            </w:r>
          </w:p>
        </w:tc>
        <w:tc>
          <w:tcPr>
            <w:tcW w:w="8142" w:type="dxa"/>
            <w:gridSpan w:val="2"/>
          </w:tcPr>
          <w:p w:rsidR="00BC0CF2" w:rsidRPr="00F8567E" w:rsidRDefault="00BC0CF2" w:rsidP="00F021B9">
            <w:pPr>
              <w:pStyle w:val="styl0"/>
              <w:spacing w:before="120"/>
            </w:pPr>
            <w:r w:rsidRPr="00F8567E">
              <w:t>W przypadku awarii lub wadliwego działania układów pomiarowo-rozliczeniowych o których mowa w pkt. C.1.6.</w:t>
            </w:r>
            <w:r>
              <w:t>,</w:t>
            </w:r>
            <w:r w:rsidRPr="00F8567E">
              <w:t xml:space="preserve"> ilość energii elektrycznej wprowadzanej do lub pobieranej z sieci określa się w każdej godzinie doby, na podstawie:</w:t>
            </w:r>
          </w:p>
          <w:p w:rsidR="00BC0CF2" w:rsidRPr="00F8567E" w:rsidRDefault="00BC0CF2" w:rsidP="009F630A">
            <w:pPr>
              <w:pStyle w:val="Stylwyliczanie"/>
              <w:numPr>
                <w:ilvl w:val="0"/>
                <w:numId w:val="4"/>
              </w:numPr>
              <w:tabs>
                <w:tab w:val="clear" w:pos="360"/>
              </w:tabs>
              <w:rPr>
                <w:color w:val="auto"/>
              </w:rPr>
            </w:pPr>
            <w:r w:rsidRPr="00F8567E">
              <w:rPr>
                <w:color w:val="auto"/>
              </w:rPr>
              <w:t>współczynników korekcji właściwych dla stwierdzonej nieprawidłowości lub awarii (o ile jest możliwe ich określenie) lub,</w:t>
            </w:r>
          </w:p>
          <w:p w:rsidR="00BC0CF2" w:rsidRPr="00F8567E" w:rsidRDefault="00BC0CF2" w:rsidP="009F630A">
            <w:pPr>
              <w:pStyle w:val="Stylwyliczanie"/>
              <w:numPr>
                <w:ilvl w:val="0"/>
                <w:numId w:val="4"/>
              </w:numPr>
              <w:tabs>
                <w:tab w:val="clear" w:pos="360"/>
              </w:tabs>
              <w:rPr>
                <w:color w:val="auto"/>
              </w:rPr>
            </w:pPr>
            <w:r w:rsidRPr="00F8567E">
              <w:rPr>
                <w:color w:val="auto"/>
              </w:rPr>
              <w:t>ilości energii elektrycznej w odpowiedniej godzinie i dniu tygodnia poprzedzającego awarię.</w:t>
            </w:r>
          </w:p>
        </w:tc>
      </w:tr>
      <w:tr w:rsidR="00BC0CF2" w:rsidRPr="00F8567E" w:rsidTr="00F021B9">
        <w:trPr>
          <w:trHeight w:val="1278"/>
        </w:trPr>
        <w:tc>
          <w:tcPr>
            <w:tcW w:w="1127" w:type="dxa"/>
          </w:tcPr>
          <w:p w:rsidR="00BC0CF2" w:rsidRPr="00F8567E" w:rsidRDefault="00BC0CF2" w:rsidP="00F021B9">
            <w:pPr>
              <w:tabs>
                <w:tab w:val="clear" w:pos="4536"/>
                <w:tab w:val="clear" w:pos="9072"/>
              </w:tabs>
              <w:ind w:firstLine="0"/>
            </w:pPr>
            <w:r w:rsidRPr="00F8567E">
              <w:lastRenderedPageBreak/>
              <w:t>C.1.8.</w:t>
            </w:r>
          </w:p>
        </w:tc>
        <w:tc>
          <w:tcPr>
            <w:tcW w:w="8142" w:type="dxa"/>
            <w:gridSpan w:val="2"/>
          </w:tcPr>
          <w:p w:rsidR="00BC0CF2" w:rsidRPr="00F8567E" w:rsidRDefault="00BC0CF2" w:rsidP="00F021B9">
            <w:pPr>
              <w:pStyle w:val="styl0"/>
              <w:spacing w:before="120"/>
            </w:pPr>
            <w:r w:rsidRPr="00F8567E">
              <w:t xml:space="preserve">W przypadku braku danych pomiarowych, spowodowanych </w:t>
            </w:r>
            <w:r>
              <w:t xml:space="preserve">brakiem lub awarią układu transmisji danych pomiarowych lub </w:t>
            </w:r>
            <w:r w:rsidRPr="00F8567E">
              <w:t xml:space="preserve">zakłóceniem w procesie zdalnego pozyskiwania danych z układów pomiarowo-rozliczeniowych, </w:t>
            </w:r>
            <w:r>
              <w:rPr>
                <w:szCs w:val="24"/>
              </w:rPr>
              <w:t>OSD</w:t>
            </w:r>
            <w:r w:rsidRPr="00F8567E">
              <w:rPr>
                <w:szCs w:val="24"/>
              </w:rPr>
              <w:t xml:space="preserve"> </w:t>
            </w:r>
            <w:r w:rsidRPr="00F8567E">
              <w:t xml:space="preserve">w procesie udostępniania danych pomiarowych może wykorzystać dane </w:t>
            </w:r>
            <w:r>
              <w:t xml:space="preserve">wyznaczone zgodnie z </w:t>
            </w:r>
            <w:proofErr w:type="spellStart"/>
            <w:r>
              <w:t>IRiESD</w:t>
            </w:r>
            <w:proofErr w:type="spellEnd"/>
            <w:r>
              <w:t xml:space="preserve"> albo </w:t>
            </w:r>
            <w:r w:rsidRPr="00F8567E">
              <w:t xml:space="preserve">zgłoszone przez Sprzedawcę, POB </w:t>
            </w:r>
            <w:r w:rsidRPr="00F8567E">
              <w:rPr>
                <w:bCs/>
              </w:rPr>
              <w:t>lub</w:t>
            </w:r>
            <w:r w:rsidRPr="00F8567E">
              <w:t xml:space="preserve"> URD.</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C.1.9.</w:t>
            </w:r>
          </w:p>
        </w:tc>
        <w:tc>
          <w:tcPr>
            <w:tcW w:w="8142" w:type="dxa"/>
            <w:gridSpan w:val="2"/>
          </w:tcPr>
          <w:p w:rsidR="00BC0CF2" w:rsidRPr="00F8567E" w:rsidRDefault="00BC0CF2" w:rsidP="00DD36BC">
            <w:pPr>
              <w:tabs>
                <w:tab w:val="clear" w:pos="4536"/>
                <w:tab w:val="clear" w:pos="9072"/>
              </w:tabs>
              <w:ind w:firstLine="0"/>
            </w:pPr>
            <w:r w:rsidRPr="00F8567E">
              <w:t xml:space="preserve">Dane pomiarowe i pomiarowo-rozliczeniowe udostępniane są przez </w:t>
            </w:r>
            <w:r w:rsidR="00E45165">
              <w:rPr>
                <w:color w:val="auto"/>
                <w:szCs w:val="24"/>
              </w:rPr>
              <w:t>OSD</w:t>
            </w:r>
            <w:r w:rsidRPr="00F8567E">
              <w:rPr>
                <w:color w:val="auto"/>
                <w:szCs w:val="24"/>
              </w:rPr>
              <w:t xml:space="preserve"> </w:t>
            </w:r>
            <w:r w:rsidRPr="00F8567E">
              <w:t xml:space="preserve">dla </w:t>
            </w:r>
            <w:r w:rsidRPr="00F8567E">
              <w:rPr>
                <w:bCs/>
                <w:color w:val="auto"/>
              </w:rPr>
              <w:t>podmiotów posiadających zawarte umowy dystrybucji</w:t>
            </w:r>
            <w:r w:rsidRPr="00F8567E">
              <w:t xml:space="preserve"> poprzez </w:t>
            </w:r>
            <w:r>
              <w:t xml:space="preserve">serwery ftp lub w inny uzgodniony sposób, </w:t>
            </w:r>
            <w:r w:rsidRPr="00F8567E">
              <w:t xml:space="preserve">na zasadach i w terminach określonych w tych umowach oraz niniejszej </w:t>
            </w:r>
            <w:proofErr w:type="spellStart"/>
            <w:r>
              <w:t>IRiESD</w:t>
            </w:r>
            <w:proofErr w:type="spellEnd"/>
            <w:r w:rsidRPr="00F8567E">
              <w:rPr>
                <w:color w:val="auto"/>
              </w:rPr>
              <w:t>.</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C.1.10.</w:t>
            </w:r>
          </w:p>
        </w:tc>
        <w:tc>
          <w:tcPr>
            <w:tcW w:w="8142" w:type="dxa"/>
            <w:gridSpan w:val="2"/>
          </w:tcPr>
          <w:p w:rsidR="00BC0CF2" w:rsidRPr="00F8567E" w:rsidRDefault="00BC0CF2" w:rsidP="00F021B9">
            <w:pPr>
              <w:tabs>
                <w:tab w:val="clear" w:pos="4536"/>
                <w:tab w:val="clear" w:pos="9072"/>
              </w:tabs>
              <w:ind w:firstLine="0"/>
              <w:rPr>
                <w:bCs/>
                <w:color w:val="auto"/>
              </w:rPr>
            </w:pPr>
            <w:r w:rsidRPr="00F8567E">
              <w:rPr>
                <w:bCs/>
                <w:color w:val="auto"/>
              </w:rPr>
              <w:t xml:space="preserve">Na potrzeby rozliczeń Rynku Bilansującego, </w:t>
            </w:r>
            <w:r w:rsidR="00E45165">
              <w:rPr>
                <w:color w:val="auto"/>
                <w:szCs w:val="24"/>
              </w:rPr>
              <w:t>OSD</w:t>
            </w:r>
            <w:r w:rsidRPr="00F8567E">
              <w:rPr>
                <w:color w:val="auto"/>
                <w:szCs w:val="24"/>
              </w:rPr>
              <w:t xml:space="preserve"> </w:t>
            </w:r>
            <w:r w:rsidRPr="00F8567E">
              <w:rPr>
                <w:bCs/>
                <w:color w:val="auto"/>
              </w:rPr>
              <w:t>wyznacza i udostępnia godzinowe dane pomiarowe i pomiarowo-rozliczeniowe dla:</w:t>
            </w:r>
          </w:p>
          <w:p w:rsidR="00BC0CF2" w:rsidRPr="00F8567E" w:rsidRDefault="00BC0CF2" w:rsidP="009F630A">
            <w:pPr>
              <w:numPr>
                <w:ilvl w:val="0"/>
                <w:numId w:val="10"/>
              </w:numPr>
              <w:tabs>
                <w:tab w:val="clear" w:pos="4536"/>
                <w:tab w:val="clear" w:pos="9072"/>
              </w:tabs>
              <w:rPr>
                <w:bCs/>
                <w:color w:val="auto"/>
              </w:rPr>
            </w:pPr>
            <w:r>
              <w:rPr>
                <w:bCs/>
                <w:color w:val="auto"/>
              </w:rPr>
              <w:t>OP-</w:t>
            </w:r>
            <w:proofErr w:type="spellStart"/>
            <w:r>
              <w:rPr>
                <w:bCs/>
                <w:color w:val="auto"/>
              </w:rPr>
              <w:t>OSDp</w:t>
            </w:r>
            <w:proofErr w:type="spellEnd"/>
            <w:r w:rsidRPr="00F8567E">
              <w:rPr>
                <w:bCs/>
                <w:color w:val="auto"/>
              </w:rPr>
              <w:t xml:space="preserve"> jako zagregowane </w:t>
            </w:r>
            <w:r>
              <w:rPr>
                <w:bCs/>
                <w:color w:val="auto"/>
              </w:rPr>
              <w:t>dane na poszczególnych POB</w:t>
            </w:r>
            <w:r w:rsidRPr="00F8567E">
              <w:rPr>
                <w:bCs/>
                <w:color w:val="auto"/>
              </w:rPr>
              <w:t xml:space="preserve">, zgodnie z zasadami i terminami określonymi w </w:t>
            </w:r>
            <w:r>
              <w:rPr>
                <w:bCs/>
                <w:color w:val="auto"/>
              </w:rPr>
              <w:t>umowie, o której mowa w pkt. A.6.</w:t>
            </w:r>
            <w:r w:rsidRPr="00F8567E">
              <w:rPr>
                <w:bCs/>
                <w:color w:val="auto"/>
              </w:rPr>
              <w:t>,</w:t>
            </w:r>
          </w:p>
          <w:p w:rsidR="00BC0CF2" w:rsidRPr="00F8567E" w:rsidRDefault="00BC0CF2" w:rsidP="009F630A">
            <w:pPr>
              <w:numPr>
                <w:ilvl w:val="0"/>
                <w:numId w:val="10"/>
              </w:numPr>
              <w:tabs>
                <w:tab w:val="clear" w:pos="4536"/>
                <w:tab w:val="clear" w:pos="9072"/>
              </w:tabs>
              <w:rPr>
                <w:bCs/>
                <w:color w:val="auto"/>
              </w:rPr>
            </w:pPr>
            <w:r w:rsidRPr="00F8567E">
              <w:rPr>
                <w:bCs/>
                <w:color w:val="auto"/>
              </w:rPr>
              <w:t xml:space="preserve">POB jako zagregowane </w:t>
            </w:r>
            <w:r>
              <w:rPr>
                <w:bCs/>
                <w:color w:val="auto"/>
              </w:rPr>
              <w:t>dla tego POB dane, z podziałem na</w:t>
            </w:r>
            <w:r w:rsidRPr="00F8567E">
              <w:rPr>
                <w:bCs/>
                <w:color w:val="auto"/>
              </w:rPr>
              <w:t xml:space="preserve"> sprzedawców i </w:t>
            </w:r>
            <w:proofErr w:type="spellStart"/>
            <w:r w:rsidRPr="00F8567E">
              <w:rPr>
                <w:bCs/>
                <w:color w:val="auto"/>
              </w:rPr>
              <w:t>URD</w:t>
            </w:r>
            <w:r>
              <w:rPr>
                <w:bCs/>
                <w:color w:val="auto"/>
              </w:rPr>
              <w:t>w</w:t>
            </w:r>
            <w:proofErr w:type="spellEnd"/>
            <w:r w:rsidRPr="00F8567E">
              <w:rPr>
                <w:bCs/>
                <w:color w:val="auto"/>
              </w:rPr>
              <w:t xml:space="preserve">, </w:t>
            </w:r>
          </w:p>
          <w:p w:rsidR="00BC0CF2" w:rsidRPr="00F8567E" w:rsidRDefault="00BC0CF2" w:rsidP="00F021B9">
            <w:pPr>
              <w:tabs>
                <w:tab w:val="clear" w:pos="4536"/>
                <w:tab w:val="clear" w:pos="9072"/>
              </w:tabs>
              <w:ind w:firstLine="0"/>
              <w:rPr>
                <w:bCs/>
                <w:color w:val="auto"/>
              </w:rPr>
            </w:pPr>
            <w:r w:rsidRPr="00F8567E">
              <w:rPr>
                <w:bCs/>
                <w:color w:val="auto"/>
              </w:rPr>
              <w:t>zachowując zgodność przekazywanych danych.</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C.1.11.</w:t>
            </w:r>
          </w:p>
        </w:tc>
        <w:tc>
          <w:tcPr>
            <w:tcW w:w="8142" w:type="dxa"/>
            <w:gridSpan w:val="2"/>
          </w:tcPr>
          <w:p w:rsidR="00BC0CF2" w:rsidRPr="00F8567E" w:rsidRDefault="00BC0CF2" w:rsidP="00F021B9">
            <w:pPr>
              <w:pStyle w:val="NormalnyAutomatyczny"/>
              <w:rPr>
                <w:bCs/>
              </w:rPr>
            </w:pPr>
            <w:r w:rsidRPr="00F8567E">
              <w:rPr>
                <w:bCs/>
              </w:rPr>
              <w:t xml:space="preserve">Na potrzeby rozliczeń Rynku Detalicznego, </w:t>
            </w:r>
            <w:r w:rsidR="00E45165">
              <w:t>OSD</w:t>
            </w:r>
            <w:r w:rsidRPr="00F8567E">
              <w:t xml:space="preserve"> </w:t>
            </w:r>
            <w:r w:rsidRPr="00F8567E">
              <w:rPr>
                <w:bCs/>
              </w:rPr>
              <w:t xml:space="preserve">udostępnia </w:t>
            </w:r>
            <w:r>
              <w:rPr>
                <w:bCs/>
              </w:rPr>
              <w:t xml:space="preserve">z dokładnością do 1kWh </w:t>
            </w:r>
            <w:r w:rsidRPr="00F8567E">
              <w:rPr>
                <w:bCs/>
              </w:rPr>
              <w:t>następujące dane pomiarowe:</w:t>
            </w:r>
          </w:p>
          <w:p w:rsidR="00BC0CF2" w:rsidRPr="00F8567E" w:rsidRDefault="00BC0CF2" w:rsidP="009F630A">
            <w:pPr>
              <w:pStyle w:val="NormalnyAutomatyczny"/>
              <w:numPr>
                <w:ilvl w:val="0"/>
                <w:numId w:val="11"/>
              </w:numPr>
              <w:rPr>
                <w:bCs/>
              </w:rPr>
            </w:pPr>
            <w:r w:rsidRPr="00F8567E">
              <w:rPr>
                <w:bCs/>
              </w:rPr>
              <w:t>Sprzedawcom:</w:t>
            </w:r>
          </w:p>
          <w:p w:rsidR="00BC0CF2" w:rsidRPr="00F8567E" w:rsidRDefault="00BC0CF2" w:rsidP="009F630A">
            <w:pPr>
              <w:pStyle w:val="NormalnyAutomatyczny"/>
              <w:numPr>
                <w:ilvl w:val="2"/>
                <w:numId w:val="11"/>
              </w:numPr>
              <w:tabs>
                <w:tab w:val="clear" w:pos="1353"/>
                <w:tab w:val="num" w:pos="892"/>
              </w:tabs>
              <w:ind w:left="892"/>
              <w:rPr>
                <w:bCs/>
              </w:rPr>
            </w:pPr>
            <w:r w:rsidRPr="00F8567E">
              <w:rPr>
                <w:bCs/>
              </w:rPr>
              <w:t xml:space="preserve">o zużyciu </w:t>
            </w:r>
            <w:r>
              <w:rPr>
                <w:bCs/>
              </w:rPr>
              <w:t xml:space="preserve">przez </w:t>
            </w:r>
            <w:r w:rsidRPr="00F8567E">
              <w:rPr>
                <w:bCs/>
              </w:rPr>
              <w:t>odbiorców w okresie rozliczeniowym umożliwiające wyznaczenie rzeczywistego zużycia energii elektrycznej poszczególnych URD – przekazywane do piątego dnia roboczego po zakończeniu okresu rozliczeniowego opłat dystrybucyjnych,</w:t>
            </w:r>
          </w:p>
          <w:p w:rsidR="00BC0CF2" w:rsidRPr="00F8567E" w:rsidRDefault="00BC0CF2" w:rsidP="009F630A">
            <w:pPr>
              <w:pStyle w:val="NormalnyAutomatyczny"/>
              <w:numPr>
                <w:ilvl w:val="2"/>
                <w:numId w:val="11"/>
              </w:numPr>
              <w:tabs>
                <w:tab w:val="clear" w:pos="1353"/>
                <w:tab w:val="num" w:pos="892"/>
              </w:tabs>
              <w:ind w:left="892"/>
              <w:rPr>
                <w:bCs/>
              </w:rPr>
            </w:pPr>
            <w:r>
              <w:rPr>
                <w:bCs/>
              </w:rPr>
              <w:t>godzinowe</w:t>
            </w:r>
            <w:r w:rsidRPr="00F8567E">
              <w:rPr>
                <w:bCs/>
              </w:rPr>
              <w:t xml:space="preserve"> URD po ich pozyskaniu przez </w:t>
            </w:r>
            <w:r w:rsidR="00E45165">
              <w:t>OSD</w:t>
            </w:r>
            <w:r w:rsidRPr="00F8567E">
              <w:t xml:space="preserve"> </w:t>
            </w:r>
            <w:r w:rsidRPr="00F8567E">
              <w:rPr>
                <w:bCs/>
              </w:rPr>
              <w:t>zgodnie z pkt. C.1.3.1).</w:t>
            </w:r>
          </w:p>
          <w:p w:rsidR="00BC0CF2" w:rsidRPr="00F8567E" w:rsidRDefault="00BC0CF2" w:rsidP="00F021B9">
            <w:pPr>
              <w:pStyle w:val="NormalnyAutomatyczny"/>
              <w:rPr>
                <w:bCs/>
              </w:rPr>
            </w:pPr>
            <w:r w:rsidRPr="00F8567E">
              <w:rPr>
                <w:bCs/>
              </w:rPr>
              <w:t xml:space="preserve">Sposób przekazywania danych określa </w:t>
            </w:r>
            <w:r>
              <w:rPr>
                <w:bCs/>
              </w:rPr>
              <w:t xml:space="preserve">GUD, </w:t>
            </w:r>
            <w:r w:rsidRPr="00F8567E">
              <w:rPr>
                <w:bCs/>
              </w:rPr>
              <w:t xml:space="preserve">zawarta pomiędzy Sprzedawcą i </w:t>
            </w:r>
            <w:r w:rsidR="00E45165">
              <w:t>OSD</w:t>
            </w:r>
            <w:r w:rsidRPr="00F8567E">
              <w:rPr>
                <w:bCs/>
              </w:rPr>
              <w:t>,</w:t>
            </w:r>
          </w:p>
          <w:p w:rsidR="00BC0CF2" w:rsidRPr="00F8567E" w:rsidRDefault="00BC0CF2" w:rsidP="009F630A">
            <w:pPr>
              <w:pStyle w:val="NormalnyAutomatyczny"/>
              <w:numPr>
                <w:ilvl w:val="0"/>
                <w:numId w:val="11"/>
              </w:numPr>
              <w:rPr>
                <w:bCs/>
              </w:rPr>
            </w:pPr>
            <w:r w:rsidRPr="00F8567E">
              <w:rPr>
                <w:bCs/>
              </w:rPr>
              <w:t>URD:</w:t>
            </w:r>
          </w:p>
          <w:p w:rsidR="00BC0CF2" w:rsidRPr="00F8567E" w:rsidRDefault="00BC0CF2" w:rsidP="009F630A">
            <w:pPr>
              <w:pStyle w:val="NormalnyAutomatyczny"/>
              <w:numPr>
                <w:ilvl w:val="2"/>
                <w:numId w:val="11"/>
              </w:numPr>
              <w:tabs>
                <w:tab w:val="clear" w:pos="1353"/>
                <w:tab w:val="num" w:pos="892"/>
              </w:tabs>
              <w:ind w:left="892"/>
              <w:rPr>
                <w:bCs/>
              </w:rPr>
            </w:pPr>
            <w:r w:rsidRPr="00F8567E">
              <w:rPr>
                <w:bCs/>
              </w:rPr>
              <w:t>o zużyciu w PPE za okres rozliczeniowy lub umożliwiające wyznaczenie rzeczywistego zużycia energii elektrycznej</w:t>
            </w:r>
            <w:r>
              <w:rPr>
                <w:bCs/>
              </w:rPr>
              <w:t>, przekazywane</w:t>
            </w:r>
            <w:r w:rsidRPr="00F8567E">
              <w:rPr>
                <w:bCs/>
              </w:rPr>
              <w:t xml:space="preserve"> wraz z fakturą za usługi dystrybucyjne,</w:t>
            </w:r>
          </w:p>
          <w:p w:rsidR="00BC0CF2" w:rsidRPr="002F5184" w:rsidRDefault="00BC0CF2" w:rsidP="009F630A">
            <w:pPr>
              <w:pStyle w:val="NormalnyAutomatyczny"/>
              <w:numPr>
                <w:ilvl w:val="2"/>
                <w:numId w:val="11"/>
              </w:numPr>
              <w:tabs>
                <w:tab w:val="clear" w:pos="1353"/>
                <w:tab w:val="num" w:pos="892"/>
              </w:tabs>
              <w:ind w:left="892"/>
              <w:rPr>
                <w:bCs/>
              </w:rPr>
            </w:pPr>
            <w:r>
              <w:rPr>
                <w:bCs/>
              </w:rPr>
              <w:t>godzinowe</w:t>
            </w:r>
            <w:r w:rsidRPr="00F8567E">
              <w:rPr>
                <w:bCs/>
              </w:rPr>
              <w:t xml:space="preserve"> URD - na zlecenie URD, na zasadach i warunkach określonych w umowie.</w:t>
            </w:r>
          </w:p>
        </w:tc>
      </w:tr>
      <w:tr w:rsidR="00BC0CF2" w:rsidRPr="00F8567E" w:rsidTr="00F021B9">
        <w:tc>
          <w:tcPr>
            <w:tcW w:w="1127" w:type="dxa"/>
          </w:tcPr>
          <w:p w:rsidR="00BC0CF2" w:rsidRPr="00F8567E" w:rsidRDefault="00BC0CF2" w:rsidP="00F021B9">
            <w:pPr>
              <w:tabs>
                <w:tab w:val="clear" w:pos="4536"/>
                <w:tab w:val="clear" w:pos="9072"/>
              </w:tabs>
              <w:ind w:firstLine="0"/>
              <w:rPr>
                <w:szCs w:val="24"/>
              </w:rPr>
            </w:pPr>
            <w:r w:rsidRPr="00F8567E">
              <w:rPr>
                <w:szCs w:val="24"/>
              </w:rPr>
              <w:t>C.1.12.</w:t>
            </w:r>
          </w:p>
        </w:tc>
        <w:tc>
          <w:tcPr>
            <w:tcW w:w="8142" w:type="dxa"/>
            <w:gridSpan w:val="2"/>
          </w:tcPr>
          <w:p w:rsidR="00BC0CF2" w:rsidRPr="00F8567E" w:rsidRDefault="00E45165" w:rsidP="00052206">
            <w:pPr>
              <w:pStyle w:val="NormalnyAutomatyczny"/>
              <w:rPr>
                <w:bCs/>
              </w:rPr>
            </w:pPr>
            <w:r>
              <w:t>OSD</w:t>
            </w:r>
            <w:r w:rsidR="00BC0CF2" w:rsidRPr="00F8567E">
              <w:t xml:space="preserve"> </w:t>
            </w:r>
            <w:r w:rsidR="00BC0CF2" w:rsidRPr="00F8567E">
              <w:rPr>
                <w:bCs/>
              </w:rPr>
              <w:t xml:space="preserve">udostępnia Sprzedawcy </w:t>
            </w:r>
            <w:r w:rsidR="00BC0CF2">
              <w:rPr>
                <w:bCs/>
              </w:rPr>
              <w:t>dane pomiarowe</w:t>
            </w:r>
            <w:r w:rsidR="00BC0CF2" w:rsidRPr="00F8567E">
              <w:rPr>
                <w:bCs/>
              </w:rPr>
              <w:t xml:space="preserve"> na zasadach określonych w GUD</w:t>
            </w:r>
            <w:r w:rsidR="0024681F">
              <w:rPr>
                <w:bCs/>
              </w:rPr>
              <w:t xml:space="preserve"> oraz niniejszej </w:t>
            </w:r>
            <w:proofErr w:type="spellStart"/>
            <w:r w:rsidR="0024681F">
              <w:rPr>
                <w:bCs/>
              </w:rPr>
              <w:t>IRiESD</w:t>
            </w:r>
            <w:proofErr w:type="spellEnd"/>
            <w:r w:rsidR="0024681F">
              <w:rPr>
                <w:bCs/>
              </w:rPr>
              <w:t>.</w:t>
            </w:r>
            <w:r w:rsidR="00052206">
              <w:t xml:space="preserve">  OSD udostępnia również </w:t>
            </w:r>
            <w:r w:rsidR="00052206" w:rsidRPr="00052206">
              <w:rPr>
                <w:bCs/>
              </w:rPr>
              <w:t>wstępne dane pomiarowe (tylko</w:t>
            </w:r>
            <w:r w:rsidR="00052206">
              <w:rPr>
                <w:bCs/>
              </w:rPr>
              <w:t xml:space="preserve"> </w:t>
            </w:r>
            <w:r w:rsidR="00052206" w:rsidRPr="00052206">
              <w:rPr>
                <w:bCs/>
              </w:rPr>
              <w:t xml:space="preserve">w przypadku ich pozyskiwania przez </w:t>
            </w:r>
            <w:r w:rsidR="00052206">
              <w:rPr>
                <w:bCs/>
              </w:rPr>
              <w:t>OSD</w:t>
            </w:r>
            <w:r w:rsidR="00052206" w:rsidRPr="00052206">
              <w:rPr>
                <w:bCs/>
              </w:rPr>
              <w:t>). Udostępnianie wstępnych</w:t>
            </w:r>
            <w:r w:rsidR="00052206">
              <w:rPr>
                <w:bCs/>
              </w:rPr>
              <w:t xml:space="preserve"> </w:t>
            </w:r>
            <w:r w:rsidR="00052206" w:rsidRPr="00052206">
              <w:rPr>
                <w:bCs/>
              </w:rPr>
              <w:t>danych pomiarowych odbywa się na zasadach określonych w GUD lub GUD-k.</w:t>
            </w:r>
            <w:r w:rsidR="00052206">
              <w:rPr>
                <w:bCs/>
              </w:rPr>
              <w:t xml:space="preserve"> </w:t>
            </w:r>
            <w:r w:rsidR="00052206" w:rsidRPr="00052206">
              <w:rPr>
                <w:bCs/>
              </w:rPr>
              <w:t>Wstępne dane pomiarowe nie są podstawą do rozliczeń.</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t>C.1.13.</w:t>
            </w:r>
          </w:p>
        </w:tc>
        <w:tc>
          <w:tcPr>
            <w:tcW w:w="8142" w:type="dxa"/>
            <w:gridSpan w:val="2"/>
          </w:tcPr>
          <w:p w:rsidR="00BC0CF2" w:rsidRPr="00F8567E" w:rsidRDefault="00BC0CF2" w:rsidP="00F021B9">
            <w:pPr>
              <w:pStyle w:val="NormalnyAutomatyczny"/>
              <w:rPr>
                <w:bCs/>
              </w:rPr>
            </w:pPr>
            <w:r w:rsidRPr="00F8567E">
              <w:rPr>
                <w:bCs/>
              </w:rPr>
              <w:t xml:space="preserve">Dane pomiarowe wyznaczone na potrzeby rozliczeń Rynku Bilansującego, </w:t>
            </w:r>
            <w:r w:rsidRPr="00F8567E">
              <w:rPr>
                <w:bCs/>
              </w:rPr>
              <w:lastRenderedPageBreak/>
              <w:t>korygowane są w przypadku:</w:t>
            </w:r>
          </w:p>
          <w:p w:rsidR="00BC0CF2" w:rsidRPr="00F8567E" w:rsidRDefault="00BC0CF2" w:rsidP="009F630A">
            <w:pPr>
              <w:pStyle w:val="NormalnyAutomatyczny"/>
              <w:numPr>
                <w:ilvl w:val="0"/>
                <w:numId w:val="12"/>
              </w:numPr>
              <w:spacing w:before="0"/>
              <w:rPr>
                <w:bCs/>
              </w:rPr>
            </w:pPr>
            <w:r>
              <w:rPr>
                <w:bCs/>
              </w:rPr>
              <w:t>p</w:t>
            </w:r>
            <w:r w:rsidRPr="00F8567E">
              <w:rPr>
                <w:bCs/>
              </w:rPr>
              <w:t>ozyskania danych rzeczywistych w miejsce szacowanych,</w:t>
            </w:r>
          </w:p>
          <w:p w:rsidR="00BC0CF2" w:rsidRPr="00F8567E" w:rsidRDefault="00BC0CF2" w:rsidP="009F630A">
            <w:pPr>
              <w:pStyle w:val="NormalnyAutomatyczny"/>
              <w:numPr>
                <w:ilvl w:val="0"/>
                <w:numId w:val="12"/>
              </w:numPr>
              <w:spacing w:before="0"/>
              <w:rPr>
                <w:bCs/>
              </w:rPr>
            </w:pPr>
            <w:r>
              <w:rPr>
                <w:bCs/>
              </w:rPr>
              <w:t>k</w:t>
            </w:r>
            <w:r w:rsidRPr="00F8567E">
              <w:rPr>
                <w:bCs/>
              </w:rPr>
              <w:t>orekty danych składowych,</w:t>
            </w:r>
          </w:p>
          <w:p w:rsidR="00BC0CF2" w:rsidRPr="00F8567E" w:rsidRDefault="00BC0CF2" w:rsidP="009F630A">
            <w:pPr>
              <w:pStyle w:val="NormalnyAutomatyczny"/>
              <w:numPr>
                <w:ilvl w:val="0"/>
                <w:numId w:val="12"/>
              </w:numPr>
              <w:spacing w:before="0"/>
              <w:rPr>
                <w:bCs/>
              </w:rPr>
            </w:pPr>
            <w:r>
              <w:rPr>
                <w:bCs/>
              </w:rPr>
              <w:t>r</w:t>
            </w:r>
            <w:r w:rsidRPr="00F8567E">
              <w:rPr>
                <w:bCs/>
              </w:rPr>
              <w:t>ozpatrzenia reklamacji w zakresie poprawności danych,</w:t>
            </w:r>
          </w:p>
          <w:p w:rsidR="00BC0CF2" w:rsidRPr="00F8567E" w:rsidRDefault="00BC0CF2" w:rsidP="00F021B9">
            <w:pPr>
              <w:pStyle w:val="NormalnyAutomatyczny"/>
              <w:rPr>
                <w:bCs/>
              </w:rPr>
            </w:pPr>
            <w:r w:rsidRPr="00F8567E">
              <w:rPr>
                <w:bCs/>
              </w:rPr>
              <w:t xml:space="preserve">i zgłaszane </w:t>
            </w:r>
            <w:r>
              <w:rPr>
                <w:bCs/>
              </w:rPr>
              <w:t>OP-</w:t>
            </w:r>
            <w:proofErr w:type="spellStart"/>
            <w:r>
              <w:rPr>
                <w:bCs/>
              </w:rPr>
              <w:t>OSDp</w:t>
            </w:r>
            <w:proofErr w:type="spellEnd"/>
            <w:r>
              <w:rPr>
                <w:bCs/>
              </w:rPr>
              <w:t xml:space="preserve"> zgodnie z instrukcją ruchu i eksploatacji sieci dystrybucyjnych OP-</w:t>
            </w:r>
            <w:proofErr w:type="spellStart"/>
            <w:r>
              <w:rPr>
                <w:bCs/>
              </w:rPr>
              <w:t>OSDp</w:t>
            </w:r>
            <w:proofErr w:type="spellEnd"/>
            <w:r>
              <w:rPr>
                <w:bCs/>
              </w:rPr>
              <w:t>.</w:t>
            </w:r>
          </w:p>
        </w:tc>
      </w:tr>
      <w:tr w:rsidR="00BC0CF2" w:rsidRPr="00F8567E" w:rsidTr="00F021B9">
        <w:tc>
          <w:tcPr>
            <w:tcW w:w="1127" w:type="dxa"/>
          </w:tcPr>
          <w:p w:rsidR="00BC0CF2" w:rsidRPr="00F8567E" w:rsidRDefault="00BC0CF2" w:rsidP="00F021B9">
            <w:pPr>
              <w:tabs>
                <w:tab w:val="clear" w:pos="4536"/>
                <w:tab w:val="clear" w:pos="9072"/>
              </w:tabs>
              <w:ind w:firstLine="0"/>
            </w:pPr>
            <w:r w:rsidRPr="00F8567E">
              <w:lastRenderedPageBreak/>
              <w:t>C.1.14.</w:t>
            </w:r>
          </w:p>
        </w:tc>
        <w:tc>
          <w:tcPr>
            <w:tcW w:w="8142" w:type="dxa"/>
            <w:gridSpan w:val="2"/>
          </w:tcPr>
          <w:p w:rsidR="00BC0CF2" w:rsidRPr="00F8567E" w:rsidRDefault="00BC0CF2" w:rsidP="00F021B9">
            <w:pPr>
              <w:tabs>
                <w:tab w:val="clear" w:pos="4536"/>
                <w:tab w:val="clear" w:pos="9072"/>
              </w:tabs>
              <w:ind w:firstLine="0"/>
              <w:rPr>
                <w:color w:val="auto"/>
              </w:rPr>
            </w:pPr>
            <w:r w:rsidRPr="00F8567E">
              <w:t xml:space="preserve">URD, Sprzedawcy oraz POB mają prawo wystąpić do </w:t>
            </w:r>
            <w:r w:rsidR="00E45165">
              <w:rPr>
                <w:color w:val="auto"/>
                <w:szCs w:val="24"/>
              </w:rPr>
              <w:t>OSD</w:t>
            </w:r>
            <w:r w:rsidRPr="00F8567E">
              <w:rPr>
                <w:color w:val="auto"/>
                <w:szCs w:val="24"/>
              </w:rPr>
              <w:t xml:space="preserve"> </w:t>
            </w:r>
            <w:r w:rsidRPr="00F8567E">
              <w:t xml:space="preserve">z wnioskiem o dokonanie korekty danych pomiarowych w terminach i na zasadach określonych w </w:t>
            </w:r>
            <w:r>
              <w:t>rozdziale</w:t>
            </w:r>
            <w:r w:rsidRPr="00F8567E">
              <w:t xml:space="preserve"> H niniejszej </w:t>
            </w:r>
            <w:proofErr w:type="spellStart"/>
            <w:r w:rsidRPr="00F8567E">
              <w:t>IRiESD</w:t>
            </w:r>
            <w:proofErr w:type="spellEnd"/>
            <w:r w:rsidRPr="00F8567E">
              <w:t>-Bilansowanie.</w:t>
            </w:r>
          </w:p>
        </w:tc>
      </w:tr>
      <w:tr w:rsidR="00BC0CF2" w:rsidRPr="00F8567E" w:rsidTr="00F021B9">
        <w:tblPrEx>
          <w:tblCellMar>
            <w:left w:w="70" w:type="dxa"/>
            <w:right w:w="70" w:type="dxa"/>
          </w:tblCellMar>
          <w:tblLook w:val="0000" w:firstRow="0" w:lastRow="0" w:firstColumn="0" w:lastColumn="0" w:noHBand="0" w:noVBand="0"/>
        </w:tblPrEx>
        <w:tc>
          <w:tcPr>
            <w:tcW w:w="1135" w:type="dxa"/>
            <w:gridSpan w:val="2"/>
          </w:tcPr>
          <w:p w:rsidR="00BC0CF2" w:rsidRPr="00F8567E" w:rsidRDefault="00BC0CF2" w:rsidP="00F021B9">
            <w:pPr>
              <w:pStyle w:val="Nagwek3"/>
              <w:rPr>
                <w:color w:val="auto"/>
              </w:rPr>
            </w:pPr>
          </w:p>
        </w:tc>
        <w:tc>
          <w:tcPr>
            <w:tcW w:w="8134" w:type="dxa"/>
          </w:tcPr>
          <w:p w:rsidR="00BC0CF2" w:rsidRPr="00F8567E" w:rsidRDefault="00BC0CF2" w:rsidP="00F021B9">
            <w:pPr>
              <w:pStyle w:val="Nagwek3"/>
              <w:ind w:left="0" w:firstLine="0"/>
              <w:rPr>
                <w:color w:val="auto"/>
              </w:rPr>
            </w:pPr>
          </w:p>
        </w:tc>
      </w:tr>
    </w:tbl>
    <w:p w:rsidR="00BC0CF2" w:rsidRDefault="00BC0CF2" w:rsidP="00BC0CF2">
      <w:pPr>
        <w:pStyle w:val="Nagwek1"/>
        <w:tabs>
          <w:tab w:val="left" w:pos="567"/>
        </w:tabs>
        <w:ind w:left="0" w:firstLine="0"/>
      </w:pPr>
    </w:p>
    <w:p w:rsidR="00A7724B" w:rsidRPr="00A7724B" w:rsidRDefault="00A7724B" w:rsidP="00A7724B">
      <w:pPr>
        <w:pStyle w:val="styl0"/>
      </w:pPr>
    </w:p>
    <w:p w:rsidR="00BC0CF2" w:rsidRDefault="00BC0CF2" w:rsidP="00BC0CF2">
      <w:pPr>
        <w:pStyle w:val="Nagwek1"/>
        <w:tabs>
          <w:tab w:val="left" w:pos="567"/>
        </w:tabs>
        <w:ind w:left="567" w:hanging="567"/>
      </w:pPr>
    </w:p>
    <w:p w:rsidR="00BC0CF2" w:rsidRPr="00F8567E" w:rsidRDefault="00BC0CF2" w:rsidP="00BC0CF2">
      <w:pPr>
        <w:pStyle w:val="Nagwek1"/>
        <w:tabs>
          <w:tab w:val="left" w:pos="567"/>
        </w:tabs>
        <w:ind w:left="567" w:hanging="567"/>
      </w:pPr>
      <w:bookmarkStart w:id="12" w:name="_Toc375295763"/>
      <w:r w:rsidRPr="00F8567E">
        <w:t>D.</w:t>
      </w:r>
      <w:r w:rsidRPr="00F8567E">
        <w:tab/>
        <w:t>PROCEDURY ZMIANY SPRZEDAWCY ORAZ ZASADY UDZIELANIA INFORMACJI I OBSŁUGI ODBIORCÓW</w:t>
      </w:r>
      <w:bookmarkEnd w:id="12"/>
    </w:p>
    <w:p w:rsidR="00BC0CF2" w:rsidRPr="00F8567E" w:rsidRDefault="00BC0CF2" w:rsidP="00BC0CF2">
      <w:pPr>
        <w:pStyle w:val="styl0"/>
        <w:rPr>
          <w:b/>
        </w:rPr>
      </w:pPr>
    </w:p>
    <w:p w:rsidR="00BC0CF2" w:rsidRPr="00F8567E" w:rsidRDefault="00BC0CF2" w:rsidP="00BC0CF2">
      <w:pPr>
        <w:pStyle w:val="styl0"/>
        <w:rPr>
          <w:b/>
        </w:rPr>
      </w:pPr>
    </w:p>
    <w:tbl>
      <w:tblPr>
        <w:tblW w:w="9498" w:type="dxa"/>
        <w:tblInd w:w="-34" w:type="dxa"/>
        <w:tblLook w:val="01E0" w:firstRow="1" w:lastRow="1" w:firstColumn="1" w:lastColumn="1" w:noHBand="0" w:noVBand="0"/>
      </w:tblPr>
      <w:tblGrid>
        <w:gridCol w:w="34"/>
        <w:gridCol w:w="896"/>
        <w:gridCol w:w="63"/>
        <w:gridCol w:w="8252"/>
        <w:gridCol w:w="253"/>
      </w:tblGrid>
      <w:tr w:rsidR="00BC0CF2" w:rsidRPr="00F8567E" w:rsidTr="00345B4D">
        <w:trPr>
          <w:gridBefore w:val="1"/>
          <w:gridAfter w:val="1"/>
          <w:wBefore w:w="34" w:type="dxa"/>
          <w:wAfter w:w="253" w:type="dxa"/>
        </w:trPr>
        <w:tc>
          <w:tcPr>
            <w:tcW w:w="959" w:type="dxa"/>
            <w:gridSpan w:val="2"/>
          </w:tcPr>
          <w:p w:rsidR="00BC0CF2" w:rsidRPr="00F8567E" w:rsidRDefault="00BC0CF2" w:rsidP="00F021B9">
            <w:pPr>
              <w:pStyle w:val="styl0"/>
              <w:spacing w:before="120"/>
              <w:rPr>
                <w:b/>
              </w:rPr>
            </w:pPr>
            <w:r w:rsidRPr="00F8567E">
              <w:rPr>
                <w:b/>
              </w:rPr>
              <w:t>D.1.</w:t>
            </w:r>
          </w:p>
        </w:tc>
        <w:tc>
          <w:tcPr>
            <w:tcW w:w="8252" w:type="dxa"/>
          </w:tcPr>
          <w:p w:rsidR="00BC0CF2" w:rsidRPr="00F8567E" w:rsidRDefault="00BC0CF2" w:rsidP="00F021B9">
            <w:pPr>
              <w:pStyle w:val="styl0"/>
              <w:spacing w:before="120"/>
              <w:rPr>
                <w:b/>
              </w:rPr>
            </w:pPr>
            <w:r w:rsidRPr="00F8567E">
              <w:rPr>
                <w:b/>
              </w:rPr>
              <w:t>WYMAGANIA OGÓLNE</w:t>
            </w:r>
          </w:p>
          <w:p w:rsidR="00BC0CF2" w:rsidRPr="00F8567E" w:rsidRDefault="00BC0CF2" w:rsidP="00F021B9">
            <w:pPr>
              <w:pStyle w:val="styl0"/>
              <w:spacing w:before="120"/>
              <w:rPr>
                <w:b/>
              </w:rPr>
            </w:pPr>
          </w:p>
        </w:tc>
      </w:tr>
      <w:tr w:rsidR="00774764" w:rsidRPr="00F8567E" w:rsidTr="00345B4D">
        <w:trPr>
          <w:gridBefore w:val="1"/>
          <w:gridAfter w:val="1"/>
          <w:wBefore w:w="34" w:type="dxa"/>
          <w:wAfter w:w="253" w:type="dxa"/>
        </w:trPr>
        <w:tc>
          <w:tcPr>
            <w:tcW w:w="959" w:type="dxa"/>
            <w:gridSpan w:val="2"/>
          </w:tcPr>
          <w:p w:rsidR="00774764" w:rsidRDefault="00774764" w:rsidP="00CB3A12">
            <w:pPr>
              <w:pStyle w:val="styl0"/>
              <w:tabs>
                <w:tab w:val="clear" w:pos="9072"/>
              </w:tabs>
              <w:spacing w:before="120"/>
            </w:pPr>
            <w:r>
              <w:t>D.1.1.</w:t>
            </w:r>
          </w:p>
        </w:tc>
        <w:tc>
          <w:tcPr>
            <w:tcW w:w="8252" w:type="dxa"/>
          </w:tcPr>
          <w:p w:rsidR="00774764" w:rsidRDefault="00774764" w:rsidP="00CB3A12">
            <w:pPr>
              <w:pStyle w:val="styl0"/>
              <w:tabs>
                <w:tab w:val="clear" w:pos="4536"/>
                <w:tab w:val="clear" w:pos="9072"/>
              </w:tabs>
              <w:spacing w:before="120"/>
            </w:pPr>
            <w:r w:rsidRPr="004B53D3">
              <w:t xml:space="preserve">Procedura zmiany sprzedawcy energii elektrycznej oraz powiadamiania o zawartych umowach sprzedaży energii elektrycznej lub umowach kompleksowych zawarta w niniejszym rozdziale, dotyczy </w:t>
            </w:r>
            <w:proofErr w:type="spellStart"/>
            <w:r w:rsidRPr="004B53D3">
              <w:t>URDo</w:t>
            </w:r>
            <w:proofErr w:type="spellEnd"/>
            <w:r w:rsidRPr="004B53D3">
              <w:t xml:space="preserve"> przyłączonych do sieci dystrybucyjnej </w:t>
            </w:r>
            <w:r w:rsidR="00E45165">
              <w:t>OSD</w:t>
            </w:r>
            <w:r w:rsidRPr="004B53D3">
              <w:t>, nie objętych rozszerzonym obszarem Rynku Bilansującego.</w:t>
            </w:r>
          </w:p>
        </w:tc>
      </w:tr>
      <w:tr w:rsidR="00774764" w:rsidRPr="00F8567E" w:rsidTr="00345B4D">
        <w:trPr>
          <w:gridBefore w:val="1"/>
          <w:gridAfter w:val="1"/>
          <w:wBefore w:w="34" w:type="dxa"/>
          <w:wAfter w:w="253" w:type="dxa"/>
        </w:trPr>
        <w:tc>
          <w:tcPr>
            <w:tcW w:w="959" w:type="dxa"/>
            <w:gridSpan w:val="2"/>
          </w:tcPr>
          <w:p w:rsidR="00774764" w:rsidRDefault="00774764" w:rsidP="008320A4">
            <w:pPr>
              <w:pStyle w:val="styl0"/>
              <w:tabs>
                <w:tab w:val="clear" w:pos="9072"/>
              </w:tabs>
              <w:spacing w:before="120"/>
            </w:pPr>
            <w:r>
              <w:t>D.1.2.</w:t>
            </w:r>
          </w:p>
        </w:tc>
        <w:tc>
          <w:tcPr>
            <w:tcW w:w="8252" w:type="dxa"/>
          </w:tcPr>
          <w:p w:rsidR="008320A4" w:rsidRDefault="008320A4" w:rsidP="008320A4">
            <w:pPr>
              <w:pStyle w:val="styl0"/>
              <w:tabs>
                <w:tab w:val="clear" w:pos="9072"/>
              </w:tabs>
              <w:spacing w:before="120"/>
            </w:pPr>
            <w:r>
              <w:t>W dniu złożenia powiadomienia, o którym mowa w pkt. D.2.4.:</w:t>
            </w:r>
          </w:p>
          <w:p w:rsidR="008320A4" w:rsidRDefault="008320A4" w:rsidP="006824F9">
            <w:pPr>
              <w:pStyle w:val="styl0"/>
              <w:numPr>
                <w:ilvl w:val="1"/>
                <w:numId w:val="37"/>
              </w:numPr>
              <w:tabs>
                <w:tab w:val="clear" w:pos="9072"/>
              </w:tabs>
              <w:spacing w:before="120"/>
              <w:ind w:left="459"/>
            </w:pPr>
            <w:r>
              <w:t>URD powinien mieć zawartą umowę o świadczenie usług dystrybucji energii elektrycznej z OSD albo umowę kompleksową z nowym Sprzedawcą, z zastrzeżeniem lit. b),</w:t>
            </w:r>
          </w:p>
          <w:p w:rsidR="008320A4" w:rsidRDefault="008320A4" w:rsidP="006824F9">
            <w:pPr>
              <w:pStyle w:val="styl0"/>
              <w:numPr>
                <w:ilvl w:val="1"/>
                <w:numId w:val="37"/>
              </w:numPr>
              <w:tabs>
                <w:tab w:val="clear" w:pos="9072"/>
              </w:tabs>
              <w:spacing w:before="120"/>
              <w:ind w:left="459"/>
            </w:pPr>
            <w:r>
              <w:t>w przypadku braku zawartej umowy o świadczenie usług dystrybucji energii elektrycznej, o której mowa w lit. a), dopuszcza się złożenie przez upoważnionego Sprzedawcę działającego w imieniu i na rzecz URD wraz z powiadomieniem, o którym mowa w pkt. D.2.4. oświadczenia woli obejmującego zgodę URD na zawarcie umowy o świadczenie usług dystrybucji energii elektrycznej z OSD, na warunkach wynikających z:</w:t>
            </w:r>
          </w:p>
          <w:p w:rsidR="008320A4" w:rsidRDefault="008320A4" w:rsidP="006824F9">
            <w:pPr>
              <w:pStyle w:val="styl0"/>
              <w:numPr>
                <w:ilvl w:val="0"/>
                <w:numId w:val="38"/>
              </w:numPr>
              <w:tabs>
                <w:tab w:val="clear" w:pos="9072"/>
              </w:tabs>
              <w:spacing w:before="120"/>
              <w:ind w:left="1026"/>
            </w:pPr>
            <w:r>
              <w:t>wzoru umowy o świadczenie usług dystrybucji energii elektrycznej zamieszczonego na stronie internetowej OSD i stanowiącego integralną część wzoru oświadczenia,</w:t>
            </w:r>
          </w:p>
          <w:p w:rsidR="008320A4" w:rsidRDefault="008320A4" w:rsidP="006824F9">
            <w:pPr>
              <w:pStyle w:val="styl0"/>
              <w:numPr>
                <w:ilvl w:val="0"/>
                <w:numId w:val="38"/>
              </w:numPr>
              <w:tabs>
                <w:tab w:val="clear" w:pos="9072"/>
              </w:tabs>
              <w:spacing w:before="120"/>
              <w:ind w:left="1026"/>
            </w:pPr>
            <w:r>
              <w:t xml:space="preserve">Taryfy oraz </w:t>
            </w:r>
            <w:proofErr w:type="spellStart"/>
            <w:r>
              <w:t>IRiESD</w:t>
            </w:r>
            <w:proofErr w:type="spellEnd"/>
            <w:r>
              <w:t xml:space="preserve"> zamieszczonych na stronie internetowej OSD, </w:t>
            </w:r>
          </w:p>
          <w:p w:rsidR="008320A4" w:rsidRDefault="008320A4" w:rsidP="006824F9">
            <w:pPr>
              <w:pStyle w:val="styl0"/>
              <w:numPr>
                <w:ilvl w:val="0"/>
                <w:numId w:val="38"/>
              </w:numPr>
              <w:tabs>
                <w:tab w:val="clear" w:pos="9072"/>
              </w:tabs>
              <w:spacing w:before="120"/>
              <w:ind w:left="1026"/>
            </w:pPr>
            <w:r>
              <w:t xml:space="preserve">dotychczasowej umowy kompleksowej lub umowy o świadczenie usług dystrybucji w zakresie warunków technicznych świadczenia usług dystrybucji, grupy taryfowej oraz okresu rozliczeniowego, o ile </w:t>
            </w:r>
            <w:r>
              <w:lastRenderedPageBreak/>
              <w:t xml:space="preserve">postanowienia umowy kompleksowej lub umowy o świadczenie usług dystrybucji w tym zakresie nie są sprzeczne z Taryfą oraz wzorem umowy, o którym mowa powyżej w </w:t>
            </w:r>
            <w:proofErr w:type="spellStart"/>
            <w:r>
              <w:t>ppkt</w:t>
            </w:r>
            <w:proofErr w:type="spellEnd"/>
            <w:r>
              <w:t>. i.,</w:t>
            </w:r>
          </w:p>
          <w:p w:rsidR="008320A4" w:rsidRDefault="008320A4" w:rsidP="006824F9">
            <w:pPr>
              <w:pStyle w:val="styl0"/>
              <w:numPr>
                <w:ilvl w:val="0"/>
                <w:numId w:val="39"/>
              </w:numPr>
              <w:tabs>
                <w:tab w:val="clear" w:pos="9072"/>
              </w:tabs>
              <w:spacing w:before="120"/>
              <w:ind w:left="459"/>
            </w:pPr>
            <w:r>
              <w:t>nowy Sprzedawca powinien mieć zawartą GUD lub GUD-k z OSD.</w:t>
            </w:r>
          </w:p>
          <w:p w:rsidR="00774764" w:rsidRDefault="008320A4" w:rsidP="008320A4">
            <w:pPr>
              <w:pStyle w:val="styl0"/>
              <w:tabs>
                <w:tab w:val="clear" w:pos="9072"/>
              </w:tabs>
              <w:spacing w:before="120"/>
            </w:pPr>
            <w:r>
              <w:t>Poprzez złożenie oświadczenia, o którym mowa w lit. b), następuje zawarcie umowy o świadczenie usług dystrybucji pomiędzy URD i OSD, bez konieczności składania dodatkowych oświadczeń. W takim przypadku OSD, w terminie 21 dni od dnia otrzymania oświadczenia, przekazuje Sprzedawcy upoważnionemu przez URD potwierdzenie treści zawartej umowy o świadczenie usług dystrybucji.</w:t>
            </w:r>
            <w:r w:rsidR="00774764">
              <w:t xml:space="preserve"> </w:t>
            </w:r>
          </w:p>
        </w:tc>
      </w:tr>
      <w:tr w:rsidR="00774764" w:rsidRPr="00F8567E" w:rsidTr="00345B4D">
        <w:tblPrEx>
          <w:tblCellMar>
            <w:left w:w="70" w:type="dxa"/>
            <w:right w:w="70" w:type="dxa"/>
          </w:tblCellMar>
          <w:tblLook w:val="0000" w:firstRow="0" w:lastRow="0" w:firstColumn="0" w:lastColumn="0" w:noHBand="0" w:noVBand="0"/>
        </w:tblPrEx>
        <w:trPr>
          <w:gridAfter w:val="1"/>
          <w:wAfter w:w="253" w:type="dxa"/>
        </w:trPr>
        <w:tc>
          <w:tcPr>
            <w:tcW w:w="993" w:type="dxa"/>
            <w:gridSpan w:val="3"/>
          </w:tcPr>
          <w:p w:rsidR="00774764" w:rsidRDefault="00774764" w:rsidP="00CB3A12">
            <w:pPr>
              <w:tabs>
                <w:tab w:val="clear" w:pos="9072"/>
              </w:tabs>
              <w:ind w:left="72" w:right="-57" w:firstLine="0"/>
              <w:jc w:val="left"/>
              <w:rPr>
                <w:color w:val="auto"/>
              </w:rPr>
            </w:pPr>
            <w:r>
              <w:rPr>
                <w:color w:val="auto"/>
              </w:rPr>
              <w:lastRenderedPageBreak/>
              <w:t>D.1.3.</w:t>
            </w:r>
          </w:p>
        </w:tc>
        <w:tc>
          <w:tcPr>
            <w:tcW w:w="8252" w:type="dxa"/>
          </w:tcPr>
          <w:p w:rsidR="00774764" w:rsidRDefault="008320A4" w:rsidP="00CB3A12">
            <w:pPr>
              <w:tabs>
                <w:tab w:val="clear" w:pos="9072"/>
              </w:tabs>
              <w:ind w:firstLine="0"/>
              <w:rPr>
                <w:color w:val="auto"/>
              </w:rPr>
            </w:pPr>
            <w:r w:rsidRPr="008320A4">
              <w:rPr>
                <w:color w:val="auto"/>
              </w:rPr>
              <w:t>Układy pomiarowo-rozliczeniowe podmiotów chcących skorzystać z prawa</w:t>
            </w:r>
            <w:r>
              <w:rPr>
                <w:color w:val="auto"/>
              </w:rPr>
              <w:t xml:space="preserve"> </w:t>
            </w:r>
            <w:r w:rsidRPr="008320A4">
              <w:rPr>
                <w:color w:val="auto"/>
              </w:rPr>
              <w:t xml:space="preserve">wyboru Sprzedawcy muszą spełniać postanowienia </w:t>
            </w:r>
            <w:proofErr w:type="spellStart"/>
            <w:r w:rsidRPr="008320A4">
              <w:rPr>
                <w:color w:val="auto"/>
              </w:rPr>
              <w:t>IRiESD</w:t>
            </w:r>
            <w:proofErr w:type="spellEnd"/>
            <w:r w:rsidRPr="008320A4">
              <w:rPr>
                <w:color w:val="auto"/>
              </w:rPr>
              <w:t xml:space="preserve"> na dzień złożenia</w:t>
            </w:r>
            <w:r>
              <w:rPr>
                <w:color w:val="auto"/>
              </w:rPr>
              <w:t xml:space="preserve"> </w:t>
            </w:r>
            <w:r w:rsidRPr="008320A4">
              <w:rPr>
                <w:color w:val="auto"/>
              </w:rPr>
              <w:t>powiadomienia, o którym mowa w pkt. D.2.4., z uwzględnieniem możliwości</w:t>
            </w:r>
            <w:r>
              <w:rPr>
                <w:color w:val="auto"/>
              </w:rPr>
              <w:t xml:space="preserve"> </w:t>
            </w:r>
            <w:r w:rsidRPr="008320A4">
              <w:rPr>
                <w:color w:val="auto"/>
              </w:rPr>
              <w:t>uzupełnienia braków formalnych w terminach, o których mowa w pkt. D.</w:t>
            </w:r>
            <w:r w:rsidR="00CB3A12">
              <w:rPr>
                <w:color w:val="auto"/>
              </w:rPr>
              <w:t>3</w:t>
            </w:r>
            <w:r w:rsidRPr="008320A4">
              <w:rPr>
                <w:color w:val="auto"/>
              </w:rPr>
              <w:t>.</w:t>
            </w:r>
            <w:r w:rsidR="00CB3A12">
              <w:rPr>
                <w:color w:val="auto"/>
              </w:rPr>
              <w:t>8</w:t>
            </w:r>
            <w:r w:rsidRPr="008320A4">
              <w:rPr>
                <w:color w:val="auto"/>
              </w:rPr>
              <w:t>.</w:t>
            </w:r>
            <w:r>
              <w:rPr>
                <w:color w:val="auto"/>
              </w:rPr>
              <w:t xml:space="preserve"> i D.</w:t>
            </w:r>
            <w:r w:rsidR="00CB3A12">
              <w:rPr>
                <w:color w:val="auto"/>
              </w:rPr>
              <w:t>3</w:t>
            </w:r>
            <w:r>
              <w:rPr>
                <w:color w:val="auto"/>
              </w:rPr>
              <w:t>.</w:t>
            </w:r>
            <w:r w:rsidR="00CB3A12">
              <w:rPr>
                <w:color w:val="auto"/>
              </w:rPr>
              <w:t>9</w:t>
            </w:r>
            <w:r>
              <w:rPr>
                <w:color w:val="auto"/>
              </w:rPr>
              <w:t>.</w:t>
            </w:r>
          </w:p>
        </w:tc>
      </w:tr>
      <w:tr w:rsidR="00774764" w:rsidRPr="00F8567E" w:rsidTr="00345B4D">
        <w:trPr>
          <w:gridBefore w:val="1"/>
          <w:gridAfter w:val="1"/>
          <w:wBefore w:w="34" w:type="dxa"/>
          <w:wAfter w:w="253" w:type="dxa"/>
        </w:trPr>
        <w:tc>
          <w:tcPr>
            <w:tcW w:w="959" w:type="dxa"/>
            <w:gridSpan w:val="2"/>
          </w:tcPr>
          <w:p w:rsidR="00774764" w:rsidRDefault="00774764" w:rsidP="00CB3A12">
            <w:pPr>
              <w:pStyle w:val="styl0"/>
              <w:tabs>
                <w:tab w:val="clear" w:pos="9072"/>
              </w:tabs>
              <w:spacing w:before="120"/>
            </w:pPr>
            <w:r>
              <w:t>D.1.4.</w:t>
            </w:r>
          </w:p>
        </w:tc>
        <w:tc>
          <w:tcPr>
            <w:tcW w:w="8252" w:type="dxa"/>
          </w:tcPr>
          <w:p w:rsidR="00774764" w:rsidRDefault="00774764" w:rsidP="00CB3A12">
            <w:pPr>
              <w:pStyle w:val="styl0"/>
              <w:tabs>
                <w:tab w:val="clear" w:pos="9072"/>
              </w:tabs>
              <w:spacing w:before="120"/>
            </w:pPr>
            <w:r>
              <w:t xml:space="preserve">Przy każdej zmianie przez odbiorcę sprzedawcy, dokonywany jest przez </w:t>
            </w:r>
            <w:r w:rsidR="00E45165">
              <w:t>OSD</w:t>
            </w:r>
            <w:r>
              <w:t xml:space="preserve"> odczyt wskazań układu pomiarowo-rozliczeniowego. Ustalenie wskazań układu pomiarowo-rozliczeniowego na dzień zmiany sprzedawcy, dokonywane jest na podstawie odczytu wykonanego maksymalnie z pięciodniowym wyprzedzeniem lub opóźnieniem.</w:t>
            </w:r>
          </w:p>
          <w:p w:rsidR="00774764" w:rsidRDefault="00774764" w:rsidP="00CB3A12">
            <w:pPr>
              <w:pStyle w:val="styl0"/>
              <w:tabs>
                <w:tab w:val="clear" w:pos="9072"/>
              </w:tabs>
            </w:pPr>
          </w:p>
          <w:p w:rsidR="00774764" w:rsidRDefault="00774764" w:rsidP="00CB3A12">
            <w:pPr>
              <w:pStyle w:val="styl0"/>
              <w:tabs>
                <w:tab w:val="clear" w:pos="9072"/>
              </w:tabs>
            </w:pPr>
            <w:r>
              <w:t xml:space="preserve">Dla </w:t>
            </w:r>
            <w:proofErr w:type="spellStart"/>
            <w:r>
              <w:t>URDo</w:t>
            </w:r>
            <w:proofErr w:type="spellEnd"/>
            <w:r>
              <w:t xml:space="preserve"> przyłączonych do sieci </w:t>
            </w:r>
            <w:r w:rsidR="00E45165">
              <w:t>OSD</w:t>
            </w:r>
            <w:r>
              <w:t xml:space="preserve"> na niskim napięciu, </w:t>
            </w:r>
            <w:r w:rsidR="00E45165">
              <w:t>OSD</w:t>
            </w:r>
            <w:r>
              <w:t xml:space="preserve"> może w uzasadnionych przypadkach ustalić wskazania układu pomiarowo-rozliczeniowego na dzień zmiany sprzedawcy lub rozdzielenia umowy kompleksowej również na podstawie:</w:t>
            </w:r>
          </w:p>
          <w:p w:rsidR="000326D2" w:rsidRDefault="00774764" w:rsidP="006824F9">
            <w:pPr>
              <w:pStyle w:val="styl0"/>
              <w:numPr>
                <w:ilvl w:val="1"/>
                <w:numId w:val="35"/>
              </w:numPr>
              <w:tabs>
                <w:tab w:val="clear" w:pos="4536"/>
                <w:tab w:val="clear" w:pos="9072"/>
              </w:tabs>
              <w:ind w:left="500"/>
            </w:pPr>
            <w:r>
              <w:t xml:space="preserve">odczytu wskazań układu pomiarowo-rozliczeniowego dokonanego przez </w:t>
            </w:r>
            <w:proofErr w:type="spellStart"/>
            <w:r>
              <w:t>URDo</w:t>
            </w:r>
            <w:proofErr w:type="spellEnd"/>
            <w:r>
              <w:t xml:space="preserve"> na dzień zmiany sprzedawcy i przekazanego do </w:t>
            </w:r>
            <w:r w:rsidR="00E45165">
              <w:t>OSD</w:t>
            </w:r>
            <w:r>
              <w:t xml:space="preserve"> najpóźniej jeden dzień po zmianie sprzedawcy oraz zweryfikowanego i przyjętego przez </w:t>
            </w:r>
            <w:r w:rsidR="00E45165">
              <w:t>OSD</w:t>
            </w:r>
            <w:r w:rsidR="000326D2">
              <w:t>,</w:t>
            </w:r>
          </w:p>
          <w:p w:rsidR="00774764" w:rsidRDefault="000326D2" w:rsidP="000326D2">
            <w:pPr>
              <w:pStyle w:val="styl0"/>
              <w:tabs>
                <w:tab w:val="clear" w:pos="4536"/>
                <w:tab w:val="clear" w:pos="9072"/>
              </w:tabs>
              <w:ind w:left="140"/>
            </w:pPr>
            <w:r>
              <w:t>a w przypadku braku możliwości ustalenia wskazań układu pomiarowo-rozliczeniowego w sposób, o którym mowa w pkt. 1.</w:t>
            </w:r>
          </w:p>
          <w:p w:rsidR="00774764" w:rsidRPr="00014F63" w:rsidRDefault="00774764" w:rsidP="006824F9">
            <w:pPr>
              <w:pStyle w:val="styl0"/>
              <w:numPr>
                <w:ilvl w:val="1"/>
                <w:numId w:val="35"/>
              </w:numPr>
              <w:tabs>
                <w:tab w:val="clear" w:pos="4536"/>
                <w:tab w:val="clear" w:pos="9072"/>
              </w:tabs>
              <w:spacing w:before="120"/>
              <w:ind w:left="500"/>
              <w:rPr>
                <w:sz w:val="23"/>
                <w:szCs w:val="23"/>
              </w:rPr>
            </w:pPr>
            <w:r>
              <w:t xml:space="preserve">ostatniego posiadanego odczytu, jednak nie starszego niż 6 miesięcy, przeliczonego na dzień zmiany sprzedawcy na podstawie przyznanego profilu lub średniodobowego zużycia energii w ostatnim okresie rozliczeniowym, za który </w:t>
            </w:r>
            <w:r w:rsidR="00E45165">
              <w:t>OSD</w:t>
            </w:r>
            <w:r w:rsidR="005F1064">
              <w:t xml:space="preserve"> posiada odczytane wskazania.</w:t>
            </w:r>
            <w:r w:rsidRPr="00014F63">
              <w:rPr>
                <w:sz w:val="23"/>
                <w:szCs w:val="23"/>
              </w:rPr>
              <w:t xml:space="preserve"> </w:t>
            </w:r>
          </w:p>
          <w:p w:rsidR="00774764" w:rsidRDefault="00774764" w:rsidP="00CB3A12">
            <w:pPr>
              <w:pStyle w:val="Default"/>
              <w:jc w:val="both"/>
              <w:rPr>
                <w:sz w:val="23"/>
                <w:szCs w:val="23"/>
              </w:rPr>
            </w:pPr>
          </w:p>
          <w:p w:rsidR="00774764" w:rsidRPr="00CB3A12" w:rsidRDefault="00E45165" w:rsidP="00476F42">
            <w:pPr>
              <w:pStyle w:val="styl0"/>
              <w:tabs>
                <w:tab w:val="clear" w:pos="9072"/>
              </w:tabs>
              <w:rPr>
                <w:szCs w:val="24"/>
              </w:rPr>
            </w:pPr>
            <w:r w:rsidRPr="00CB3A12">
              <w:rPr>
                <w:szCs w:val="24"/>
              </w:rPr>
              <w:t>OSD</w:t>
            </w:r>
            <w:r w:rsidR="00774764" w:rsidRPr="00CB3A12">
              <w:rPr>
                <w:szCs w:val="24"/>
              </w:rPr>
              <w:t xml:space="preserve"> przekazuje dotychczasowemu i nowemu sprzedawcy wyznaczone na dzień</w:t>
            </w:r>
            <w:r w:rsidR="00476F42" w:rsidRPr="00CB3A12">
              <w:rPr>
                <w:szCs w:val="24"/>
              </w:rPr>
              <w:t xml:space="preserve"> </w:t>
            </w:r>
            <w:r w:rsidR="00774764" w:rsidRPr="00CB3A12">
              <w:rPr>
                <w:szCs w:val="24"/>
              </w:rPr>
              <w:t>zmiany sprzedawcy dane pomiarowe odbiorcy</w:t>
            </w:r>
            <w:r w:rsidR="00774764" w:rsidRPr="00CB3A12">
              <w:rPr>
                <w:rFonts w:ascii="Arial Unicode MS" w:eastAsia="Arial Unicode MS" w:cs="Arial Unicode MS"/>
                <w:szCs w:val="24"/>
              </w:rPr>
              <w:t xml:space="preserve">, </w:t>
            </w:r>
            <w:r w:rsidR="00774764" w:rsidRPr="00CB3A12">
              <w:rPr>
                <w:rFonts w:eastAsia="Arial Unicode MS"/>
                <w:szCs w:val="24"/>
              </w:rPr>
              <w:t xml:space="preserve">który skorzystał z prawa do zmiany sprzedawcy, umożliwiające dotychczasowemu sprzedawcy dokonanie rozliczeń z odbiorcą, nie później niż w okresie 35 dni kalendarzowych od dnia dokonania tej zmiany. </w:t>
            </w:r>
          </w:p>
        </w:tc>
      </w:tr>
      <w:tr w:rsidR="00774764" w:rsidRPr="00F8567E" w:rsidTr="00345B4D">
        <w:trPr>
          <w:gridBefore w:val="1"/>
          <w:gridAfter w:val="1"/>
          <w:wBefore w:w="34" w:type="dxa"/>
          <w:wAfter w:w="253" w:type="dxa"/>
        </w:trPr>
        <w:tc>
          <w:tcPr>
            <w:tcW w:w="959" w:type="dxa"/>
            <w:gridSpan w:val="2"/>
          </w:tcPr>
          <w:p w:rsidR="00774764" w:rsidRDefault="00774764" w:rsidP="00CB3A12">
            <w:pPr>
              <w:pStyle w:val="styl0"/>
              <w:tabs>
                <w:tab w:val="clear" w:pos="9072"/>
              </w:tabs>
              <w:spacing w:before="120"/>
            </w:pPr>
            <w:r>
              <w:t>D.1.5.</w:t>
            </w:r>
          </w:p>
        </w:tc>
        <w:tc>
          <w:tcPr>
            <w:tcW w:w="8252" w:type="dxa"/>
          </w:tcPr>
          <w:p w:rsidR="00774764" w:rsidRPr="00476F42" w:rsidRDefault="00774764" w:rsidP="00CB3A12">
            <w:pPr>
              <w:pStyle w:val="styl0"/>
              <w:tabs>
                <w:tab w:val="clear" w:pos="9072"/>
              </w:tabs>
              <w:spacing w:before="120"/>
            </w:pPr>
            <w:r w:rsidRPr="00476F42">
              <w:t xml:space="preserve">Pierwsza zmiana sprzedawcy wymaga potwierdzenia rozwiązania umowy kompleksowej lub umowy sprzedaży energii elektrycznej przez dotychczasowego sprzedawcę. Kolejna zmiana sprzedawcy nie wymaga potwierdzenia rozwiązania </w:t>
            </w:r>
            <w:r w:rsidRPr="00476F42">
              <w:lastRenderedPageBreak/>
              <w:t>umowy sprzedaży energii elektrycznej lub umowy kompleksowej przez dotychczasowego sprzedawcę. Informacja od dotychczasowego sprzedawcy przy kolejnej zmianie sprzedawcy o braku możliwości rozwiązania umowy sprzedaży energii elektrycznej lub umowy kompleksowej nie wstrzymuje procesu zmiany sprzedawcy.</w:t>
            </w:r>
          </w:p>
        </w:tc>
      </w:tr>
      <w:tr w:rsidR="00774764" w:rsidRPr="00F8567E" w:rsidTr="00345B4D">
        <w:trPr>
          <w:gridBefore w:val="1"/>
          <w:gridAfter w:val="1"/>
          <w:wBefore w:w="34" w:type="dxa"/>
          <w:wAfter w:w="253" w:type="dxa"/>
        </w:trPr>
        <w:tc>
          <w:tcPr>
            <w:tcW w:w="959" w:type="dxa"/>
            <w:gridSpan w:val="2"/>
          </w:tcPr>
          <w:p w:rsidR="00774764" w:rsidRDefault="00774764" w:rsidP="00CB3A12">
            <w:pPr>
              <w:pStyle w:val="styl0"/>
              <w:spacing w:before="120"/>
            </w:pPr>
            <w:r>
              <w:lastRenderedPageBreak/>
              <w:t>D.1.5.</w:t>
            </w:r>
          </w:p>
        </w:tc>
        <w:tc>
          <w:tcPr>
            <w:tcW w:w="8252" w:type="dxa"/>
          </w:tcPr>
          <w:p w:rsidR="00774764" w:rsidRDefault="00774764" w:rsidP="00CB3A12">
            <w:pPr>
              <w:tabs>
                <w:tab w:val="clear" w:pos="4536"/>
                <w:tab w:val="clear" w:pos="9072"/>
              </w:tabs>
              <w:autoSpaceDE w:val="0"/>
              <w:autoSpaceDN w:val="0"/>
              <w:adjustRightInd w:val="0"/>
              <w:ind w:firstLine="0"/>
              <w:rPr>
                <w:szCs w:val="24"/>
              </w:rPr>
            </w:pPr>
            <w:r>
              <w:rPr>
                <w:color w:val="auto"/>
                <w:szCs w:val="24"/>
              </w:rPr>
              <w:t>Odbiorca może mieć dla jednego PPE zawartą dowolną ilość umów sprzedaży energii elektrycznej. W umowie o świadczenie usług dystrybucji odbiorca wskazuje jednak tylko jednego ze swoich sprzedawców, tzw. sprzedawcę podstawowego. Powiadomienia, o których mowa w pkt. D.1.1, dokonuje wyłącznie sprzedawca podstawowy. Energia elektryczna zmierzona w PPE odbiorcy będzie wykazywana na POB wskazanego w generalnej umowie dystrybucji przez sprzedawcę podstawowego.</w:t>
            </w:r>
          </w:p>
        </w:tc>
      </w:tr>
      <w:tr w:rsidR="00774764" w:rsidRPr="00F8567E" w:rsidTr="00345B4D">
        <w:trPr>
          <w:gridBefore w:val="1"/>
          <w:gridAfter w:val="1"/>
          <w:wBefore w:w="34" w:type="dxa"/>
          <w:wAfter w:w="253" w:type="dxa"/>
        </w:trPr>
        <w:tc>
          <w:tcPr>
            <w:tcW w:w="959" w:type="dxa"/>
            <w:gridSpan w:val="2"/>
          </w:tcPr>
          <w:p w:rsidR="00774764" w:rsidRDefault="00774764" w:rsidP="00CB3A12">
            <w:pPr>
              <w:pStyle w:val="styl0"/>
              <w:spacing w:before="120"/>
            </w:pPr>
            <w:r>
              <w:t>D.1.6.</w:t>
            </w:r>
          </w:p>
        </w:tc>
        <w:tc>
          <w:tcPr>
            <w:tcW w:w="8252" w:type="dxa"/>
          </w:tcPr>
          <w:p w:rsidR="00774764" w:rsidRDefault="00774764" w:rsidP="00CB3A12">
            <w:pPr>
              <w:tabs>
                <w:tab w:val="clear" w:pos="4536"/>
                <w:tab w:val="clear" w:pos="9072"/>
              </w:tabs>
              <w:autoSpaceDE w:val="0"/>
              <w:autoSpaceDN w:val="0"/>
              <w:adjustRightInd w:val="0"/>
              <w:ind w:firstLine="0"/>
              <w:rPr>
                <w:color w:val="auto"/>
                <w:szCs w:val="24"/>
              </w:rPr>
            </w:pPr>
            <w:r w:rsidRPr="003C7A5E">
              <w:rPr>
                <w:color w:val="auto"/>
                <w:szCs w:val="24"/>
              </w:rPr>
              <w:t xml:space="preserve">Proces zmiany sprzedawcy nie powinien przekroczyć okresu 21 dni kalendarzowych licząc od momentu otrzymania przez </w:t>
            </w:r>
            <w:r w:rsidR="00E45165">
              <w:rPr>
                <w:color w:val="auto"/>
                <w:szCs w:val="24"/>
              </w:rPr>
              <w:t>OSD</w:t>
            </w:r>
            <w:r w:rsidRPr="003C7A5E">
              <w:rPr>
                <w:color w:val="auto"/>
                <w:szCs w:val="24"/>
              </w:rPr>
              <w:t xml:space="preserve"> powiadomień, o których mowa w pkt D.2.1.</w:t>
            </w:r>
          </w:p>
          <w:p w:rsidR="00774764" w:rsidRDefault="00774764" w:rsidP="00CB3A12">
            <w:pPr>
              <w:tabs>
                <w:tab w:val="clear" w:pos="4536"/>
                <w:tab w:val="clear" w:pos="9072"/>
              </w:tabs>
              <w:autoSpaceDE w:val="0"/>
              <w:autoSpaceDN w:val="0"/>
              <w:adjustRightInd w:val="0"/>
              <w:ind w:firstLine="0"/>
              <w:rPr>
                <w:color w:val="auto"/>
                <w:szCs w:val="24"/>
              </w:rPr>
            </w:pPr>
          </w:p>
        </w:tc>
      </w:tr>
      <w:tr w:rsidR="008258A1" w:rsidRPr="00F8567E" w:rsidTr="00345B4D">
        <w:trPr>
          <w:gridBefore w:val="1"/>
          <w:gridAfter w:val="1"/>
          <w:wBefore w:w="34" w:type="dxa"/>
          <w:wAfter w:w="253" w:type="dxa"/>
        </w:trPr>
        <w:tc>
          <w:tcPr>
            <w:tcW w:w="959" w:type="dxa"/>
            <w:gridSpan w:val="2"/>
          </w:tcPr>
          <w:p w:rsidR="008258A1" w:rsidRDefault="008258A1" w:rsidP="00CB3A12">
            <w:pPr>
              <w:pStyle w:val="styl0"/>
              <w:spacing w:before="120"/>
            </w:pPr>
            <w:r>
              <w:t>D.1.7.</w:t>
            </w:r>
          </w:p>
        </w:tc>
        <w:tc>
          <w:tcPr>
            <w:tcW w:w="8252" w:type="dxa"/>
          </w:tcPr>
          <w:p w:rsidR="008258A1" w:rsidRPr="003C7A5E" w:rsidRDefault="008258A1" w:rsidP="008258A1">
            <w:pPr>
              <w:tabs>
                <w:tab w:val="clear" w:pos="4536"/>
                <w:tab w:val="clear" w:pos="9072"/>
              </w:tabs>
              <w:autoSpaceDE w:val="0"/>
              <w:autoSpaceDN w:val="0"/>
              <w:adjustRightInd w:val="0"/>
              <w:ind w:firstLine="0"/>
              <w:rPr>
                <w:color w:val="auto"/>
                <w:szCs w:val="24"/>
              </w:rPr>
            </w:pPr>
            <w:r w:rsidRPr="008258A1">
              <w:rPr>
                <w:color w:val="auto"/>
                <w:szCs w:val="24"/>
              </w:rPr>
              <w:t>Sprzedawca nie później niż na 21 dni przed zaprzestaniem sprzedaży energii</w:t>
            </w:r>
            <w:r>
              <w:rPr>
                <w:color w:val="auto"/>
                <w:szCs w:val="24"/>
              </w:rPr>
              <w:t xml:space="preserve"> </w:t>
            </w:r>
            <w:r w:rsidRPr="008258A1">
              <w:rPr>
                <w:color w:val="auto"/>
                <w:szCs w:val="24"/>
              </w:rPr>
              <w:t xml:space="preserve">elektrycznej lub świadczenia usługi kompleksowej, informuje </w:t>
            </w:r>
            <w:r>
              <w:rPr>
                <w:color w:val="auto"/>
                <w:szCs w:val="24"/>
              </w:rPr>
              <w:t xml:space="preserve">OSD </w:t>
            </w:r>
            <w:r w:rsidRPr="008258A1">
              <w:rPr>
                <w:color w:val="auto"/>
                <w:szCs w:val="24"/>
              </w:rPr>
              <w:t>o dacie rozwiązania lub wygaśnięcia umowy sprzedaży lub umowy</w:t>
            </w:r>
            <w:r>
              <w:rPr>
                <w:color w:val="auto"/>
                <w:szCs w:val="24"/>
              </w:rPr>
              <w:t xml:space="preserve"> </w:t>
            </w:r>
            <w:r w:rsidRPr="008258A1">
              <w:rPr>
                <w:color w:val="auto"/>
                <w:szCs w:val="24"/>
              </w:rPr>
              <w:t>kompleksowej.</w:t>
            </w:r>
            <w:r>
              <w:rPr>
                <w:color w:val="auto"/>
                <w:szCs w:val="24"/>
              </w:rPr>
              <w:t xml:space="preserve"> </w:t>
            </w:r>
            <w:r>
              <w:rPr>
                <w:color w:val="auto"/>
                <w:szCs w:val="24"/>
              </w:rPr>
              <w:br/>
            </w:r>
            <w:r w:rsidRPr="008258A1">
              <w:rPr>
                <w:color w:val="auto"/>
                <w:szCs w:val="24"/>
              </w:rPr>
              <w:t xml:space="preserve">W przypadku nie dotrzymania przez Sprzedawcę tego terminu, </w:t>
            </w:r>
            <w:r>
              <w:rPr>
                <w:color w:val="auto"/>
                <w:szCs w:val="24"/>
              </w:rPr>
              <w:t xml:space="preserve">OSD </w:t>
            </w:r>
            <w:r w:rsidRPr="008258A1">
              <w:rPr>
                <w:color w:val="auto"/>
                <w:szCs w:val="24"/>
              </w:rPr>
              <w:t>będzie realizował dotychczasową umowę sprzedaży lub umowę kompleksową do</w:t>
            </w:r>
            <w:r>
              <w:rPr>
                <w:color w:val="auto"/>
                <w:szCs w:val="24"/>
              </w:rPr>
              <w:t xml:space="preserve"> </w:t>
            </w:r>
            <w:r w:rsidRPr="008258A1">
              <w:rPr>
                <w:color w:val="auto"/>
                <w:szCs w:val="24"/>
              </w:rPr>
              <w:t xml:space="preserve">21 dnia od uzyskania tej informacji przez </w:t>
            </w:r>
            <w:r>
              <w:rPr>
                <w:color w:val="auto"/>
                <w:szCs w:val="24"/>
              </w:rPr>
              <w:t>OSD</w:t>
            </w:r>
            <w:r w:rsidRPr="008258A1">
              <w:rPr>
                <w:color w:val="auto"/>
                <w:szCs w:val="24"/>
              </w:rPr>
              <w:t xml:space="preserve"> od Sprzedawcy, chyba,</w:t>
            </w:r>
            <w:r>
              <w:rPr>
                <w:color w:val="auto"/>
                <w:szCs w:val="24"/>
              </w:rPr>
              <w:t xml:space="preserve"> </w:t>
            </w:r>
            <w:r w:rsidRPr="008258A1">
              <w:rPr>
                <w:color w:val="auto"/>
                <w:szCs w:val="24"/>
              </w:rPr>
              <w:t>że w terminie wcześniejszym nastąpi zmiana Sprzedawcy.</w:t>
            </w:r>
          </w:p>
        </w:tc>
      </w:tr>
      <w:tr w:rsidR="008258A1" w:rsidRPr="00F8567E" w:rsidTr="00345B4D">
        <w:trPr>
          <w:gridBefore w:val="1"/>
          <w:gridAfter w:val="1"/>
          <w:wBefore w:w="34" w:type="dxa"/>
          <w:wAfter w:w="253" w:type="dxa"/>
        </w:trPr>
        <w:tc>
          <w:tcPr>
            <w:tcW w:w="959" w:type="dxa"/>
            <w:gridSpan w:val="2"/>
          </w:tcPr>
          <w:p w:rsidR="008258A1" w:rsidRDefault="008258A1" w:rsidP="00CB3A12">
            <w:pPr>
              <w:pStyle w:val="styl0"/>
              <w:spacing w:before="120"/>
            </w:pPr>
            <w:r>
              <w:t>D.1.8.</w:t>
            </w:r>
          </w:p>
        </w:tc>
        <w:tc>
          <w:tcPr>
            <w:tcW w:w="8252" w:type="dxa"/>
          </w:tcPr>
          <w:p w:rsidR="008258A1" w:rsidRPr="008258A1" w:rsidRDefault="008258A1" w:rsidP="008258A1">
            <w:pPr>
              <w:tabs>
                <w:tab w:val="clear" w:pos="4536"/>
                <w:tab w:val="clear" w:pos="9072"/>
              </w:tabs>
              <w:autoSpaceDE w:val="0"/>
              <w:autoSpaceDN w:val="0"/>
              <w:adjustRightInd w:val="0"/>
              <w:ind w:firstLine="0"/>
              <w:rPr>
                <w:color w:val="auto"/>
                <w:szCs w:val="24"/>
              </w:rPr>
            </w:pPr>
            <w:r w:rsidRPr="008258A1">
              <w:rPr>
                <w:color w:val="auto"/>
                <w:szCs w:val="24"/>
              </w:rPr>
              <w:t>URD może mieć w danym okresie dla jednego PPE zawartą obowiązującą tylko</w:t>
            </w:r>
            <w:r>
              <w:rPr>
                <w:color w:val="auto"/>
                <w:szCs w:val="24"/>
              </w:rPr>
              <w:t xml:space="preserve"> </w:t>
            </w:r>
            <w:r w:rsidRPr="008258A1">
              <w:rPr>
                <w:color w:val="auto"/>
                <w:szCs w:val="24"/>
              </w:rPr>
              <w:t>jedną umowę: kompleksową albo o świadczenie usług dystrybucji.</w:t>
            </w:r>
          </w:p>
        </w:tc>
      </w:tr>
      <w:tr w:rsidR="008258A1" w:rsidRPr="00F8567E" w:rsidTr="00345B4D">
        <w:trPr>
          <w:gridBefore w:val="1"/>
          <w:gridAfter w:val="1"/>
          <w:wBefore w:w="34" w:type="dxa"/>
          <w:wAfter w:w="253" w:type="dxa"/>
        </w:trPr>
        <w:tc>
          <w:tcPr>
            <w:tcW w:w="959" w:type="dxa"/>
            <w:gridSpan w:val="2"/>
          </w:tcPr>
          <w:p w:rsidR="008258A1" w:rsidRDefault="008258A1" w:rsidP="00CB3A12">
            <w:pPr>
              <w:pStyle w:val="styl0"/>
              <w:spacing w:before="120"/>
            </w:pPr>
            <w:r>
              <w:t>D.1.9.</w:t>
            </w:r>
          </w:p>
        </w:tc>
        <w:tc>
          <w:tcPr>
            <w:tcW w:w="8252" w:type="dxa"/>
          </w:tcPr>
          <w:p w:rsidR="008258A1" w:rsidRDefault="008258A1" w:rsidP="008258A1">
            <w:pPr>
              <w:tabs>
                <w:tab w:val="clear" w:pos="4536"/>
                <w:tab w:val="clear" w:pos="9072"/>
              </w:tabs>
              <w:autoSpaceDE w:val="0"/>
              <w:autoSpaceDN w:val="0"/>
              <w:adjustRightInd w:val="0"/>
              <w:ind w:firstLine="0"/>
              <w:rPr>
                <w:color w:val="auto"/>
                <w:szCs w:val="24"/>
              </w:rPr>
            </w:pPr>
            <w:r w:rsidRPr="008258A1">
              <w:rPr>
                <w:color w:val="auto"/>
                <w:szCs w:val="24"/>
              </w:rPr>
              <w:t>Zmiana Sprzedawcy nie może powodować pogorszenia technicznych warunków</w:t>
            </w:r>
            <w:r>
              <w:rPr>
                <w:color w:val="auto"/>
                <w:szCs w:val="24"/>
              </w:rPr>
              <w:t xml:space="preserve"> </w:t>
            </w:r>
            <w:r w:rsidRPr="008258A1">
              <w:rPr>
                <w:color w:val="auto"/>
                <w:szCs w:val="24"/>
              </w:rPr>
              <w:t>świadczenia usługi dystrybucji energii elektrycznej.</w:t>
            </w:r>
          </w:p>
          <w:p w:rsidR="008258A1" w:rsidRDefault="008258A1" w:rsidP="008258A1">
            <w:pPr>
              <w:tabs>
                <w:tab w:val="clear" w:pos="4536"/>
                <w:tab w:val="clear" w:pos="9072"/>
              </w:tabs>
              <w:autoSpaceDE w:val="0"/>
              <w:autoSpaceDN w:val="0"/>
              <w:adjustRightInd w:val="0"/>
              <w:ind w:firstLine="0"/>
              <w:rPr>
                <w:color w:val="auto"/>
                <w:szCs w:val="24"/>
              </w:rPr>
            </w:pPr>
          </w:p>
          <w:p w:rsidR="008258A1" w:rsidRPr="008258A1" w:rsidRDefault="008258A1" w:rsidP="008258A1">
            <w:pPr>
              <w:tabs>
                <w:tab w:val="clear" w:pos="4536"/>
                <w:tab w:val="clear" w:pos="9072"/>
              </w:tabs>
              <w:autoSpaceDE w:val="0"/>
              <w:autoSpaceDN w:val="0"/>
              <w:adjustRightInd w:val="0"/>
              <w:ind w:firstLine="0"/>
              <w:rPr>
                <w:color w:val="auto"/>
                <w:szCs w:val="24"/>
              </w:rPr>
            </w:pPr>
          </w:p>
        </w:tc>
      </w:tr>
      <w:tr w:rsidR="00BC0CF2" w:rsidRPr="00F8567E" w:rsidTr="00345B4D">
        <w:trPr>
          <w:gridBefore w:val="1"/>
          <w:gridAfter w:val="1"/>
          <w:wBefore w:w="34" w:type="dxa"/>
          <w:wAfter w:w="253" w:type="dxa"/>
        </w:trPr>
        <w:tc>
          <w:tcPr>
            <w:tcW w:w="959" w:type="dxa"/>
            <w:gridSpan w:val="2"/>
          </w:tcPr>
          <w:p w:rsidR="00BC0CF2" w:rsidRPr="00F8567E" w:rsidRDefault="00BC0CF2" w:rsidP="00F021B9">
            <w:pPr>
              <w:pStyle w:val="styl0"/>
              <w:spacing w:before="120"/>
              <w:rPr>
                <w:b/>
              </w:rPr>
            </w:pPr>
            <w:r w:rsidRPr="00F8567E">
              <w:rPr>
                <w:b/>
              </w:rPr>
              <w:t>D.2.</w:t>
            </w:r>
          </w:p>
        </w:tc>
        <w:tc>
          <w:tcPr>
            <w:tcW w:w="8252" w:type="dxa"/>
          </w:tcPr>
          <w:p w:rsidR="00BC0CF2" w:rsidRPr="00E30A4F" w:rsidRDefault="00345B4D" w:rsidP="00F021B9">
            <w:pPr>
              <w:pStyle w:val="styl0"/>
              <w:spacing w:before="120"/>
              <w:rPr>
                <w:b/>
                <w:sz w:val="56"/>
                <w:szCs w:val="56"/>
              </w:rPr>
            </w:pPr>
            <w:r w:rsidRPr="00542B68">
              <w:rPr>
                <w:b/>
              </w:rPr>
              <w:t>ZASADY POWIADAMIANIA O ZAWARTYCH UMOWACH SPRZEDAŻY ENERGII ELEKTRYCZNEJ LUB UMOWACH KOMPLEKSOWYCH</w:t>
            </w:r>
          </w:p>
        </w:tc>
      </w:tr>
      <w:tr w:rsidR="00820976" w:rsidRPr="00F8567E" w:rsidTr="00345B4D">
        <w:trPr>
          <w:gridBefore w:val="1"/>
          <w:gridAfter w:val="1"/>
          <w:wBefore w:w="34" w:type="dxa"/>
          <w:wAfter w:w="253" w:type="dxa"/>
        </w:trPr>
        <w:tc>
          <w:tcPr>
            <w:tcW w:w="959" w:type="dxa"/>
            <w:gridSpan w:val="2"/>
          </w:tcPr>
          <w:p w:rsidR="00820976" w:rsidRPr="00542B68" w:rsidRDefault="00820976" w:rsidP="00CB3A12">
            <w:pPr>
              <w:pStyle w:val="styl0"/>
              <w:spacing w:before="120"/>
            </w:pPr>
            <w:r w:rsidRPr="00542B68">
              <w:t>D.2.1</w:t>
            </w:r>
            <w:r>
              <w:t>.</w:t>
            </w:r>
          </w:p>
        </w:tc>
        <w:tc>
          <w:tcPr>
            <w:tcW w:w="8252" w:type="dxa"/>
          </w:tcPr>
          <w:p w:rsidR="00820976" w:rsidRPr="00542B68" w:rsidRDefault="00820976" w:rsidP="00CB3A12">
            <w:pPr>
              <w:pStyle w:val="styl0"/>
              <w:spacing w:before="120"/>
              <w:jc w:val="left"/>
              <w:rPr>
                <w:color w:val="000000"/>
                <w:szCs w:val="22"/>
              </w:rPr>
            </w:pPr>
            <w:proofErr w:type="spellStart"/>
            <w:r w:rsidRPr="00542B68">
              <w:rPr>
                <w:color w:val="000000"/>
                <w:szCs w:val="22"/>
              </w:rPr>
              <w:t>URDo</w:t>
            </w:r>
            <w:proofErr w:type="spellEnd"/>
            <w:r w:rsidRPr="00542B68">
              <w:rPr>
                <w:color w:val="000000"/>
                <w:szCs w:val="22"/>
              </w:rPr>
              <w:t xml:space="preserve"> lub upoważniony przez </w:t>
            </w:r>
            <w:proofErr w:type="spellStart"/>
            <w:r w:rsidRPr="00542B68">
              <w:rPr>
                <w:color w:val="000000"/>
                <w:szCs w:val="22"/>
              </w:rPr>
              <w:t>URDo</w:t>
            </w:r>
            <w:proofErr w:type="spellEnd"/>
            <w:r w:rsidRPr="00542B68">
              <w:rPr>
                <w:color w:val="000000"/>
                <w:szCs w:val="22"/>
              </w:rPr>
              <w:t xml:space="preserve"> nowy Sprzedawca zgłasza do </w:t>
            </w:r>
            <w:r w:rsidR="00E45165">
              <w:rPr>
                <w:color w:val="000000"/>
                <w:szCs w:val="22"/>
              </w:rPr>
              <w:t>OSD</w:t>
            </w:r>
            <w:r w:rsidRPr="00542B68">
              <w:rPr>
                <w:color w:val="000000"/>
                <w:szCs w:val="22"/>
              </w:rPr>
              <w:t xml:space="preserve"> w formie powiadomienia informacje o zawartej umowie sprzedaży energii elektrycznej lub umowie kompleksowej oraz o planowanym terminie rozpoczęcia sprzedaży energii elektrycznej, nie późniejszym niż 90 dni kalendarzowych od dnia złożenia powiadomienia.</w:t>
            </w:r>
          </w:p>
          <w:p w:rsidR="00820976" w:rsidRPr="00542B68" w:rsidRDefault="00820976" w:rsidP="00CB3A12">
            <w:pPr>
              <w:pStyle w:val="styl0"/>
              <w:spacing w:before="120"/>
              <w:jc w:val="left"/>
              <w:rPr>
                <w:color w:val="000000"/>
                <w:szCs w:val="22"/>
              </w:rPr>
            </w:pPr>
            <w:r w:rsidRPr="00542B68">
              <w:rPr>
                <w:color w:val="000000"/>
                <w:szCs w:val="22"/>
              </w:rPr>
              <w:t xml:space="preserve">Powiadomienie jest zgłaszane do odpowiednich </w:t>
            </w:r>
            <w:r w:rsidR="00E45165">
              <w:rPr>
                <w:color w:val="000000"/>
                <w:szCs w:val="22"/>
              </w:rPr>
              <w:t>OSD</w:t>
            </w:r>
            <w:r w:rsidRPr="00542B68">
              <w:rPr>
                <w:color w:val="000000"/>
                <w:szCs w:val="22"/>
              </w:rPr>
              <w:t xml:space="preserve"> formie papierowej Powiadomienia </w:t>
            </w:r>
            <w:r>
              <w:rPr>
                <w:color w:val="000000"/>
                <w:szCs w:val="22"/>
              </w:rPr>
              <w:t xml:space="preserve">są </w:t>
            </w:r>
            <w:r w:rsidRPr="00542B68">
              <w:rPr>
                <w:color w:val="000000"/>
                <w:szCs w:val="22"/>
              </w:rPr>
              <w:t>przyjm</w:t>
            </w:r>
            <w:r>
              <w:rPr>
                <w:color w:val="000000"/>
                <w:szCs w:val="22"/>
              </w:rPr>
              <w:t xml:space="preserve">owane w siedzibie </w:t>
            </w:r>
            <w:r w:rsidR="00E45165">
              <w:rPr>
                <w:color w:val="000000"/>
                <w:szCs w:val="22"/>
              </w:rPr>
              <w:t>OSD</w:t>
            </w:r>
            <w:r w:rsidRPr="00542B68">
              <w:rPr>
                <w:color w:val="000000"/>
                <w:szCs w:val="22"/>
              </w:rPr>
              <w:t>.</w:t>
            </w:r>
          </w:p>
          <w:p w:rsidR="00820976" w:rsidRPr="000344AA" w:rsidRDefault="00820976" w:rsidP="00CB3A12">
            <w:pPr>
              <w:pStyle w:val="styl0"/>
              <w:spacing w:before="120"/>
              <w:jc w:val="left"/>
              <w:rPr>
                <w:lang w:val="x-none"/>
              </w:rPr>
            </w:pPr>
            <w:r w:rsidRPr="00542B68">
              <w:rPr>
                <w:color w:val="000000"/>
                <w:szCs w:val="22"/>
              </w:rPr>
              <w:t xml:space="preserve">Formę dokonywania zgłoszeń </w:t>
            </w:r>
            <w:r>
              <w:rPr>
                <w:color w:val="000000"/>
                <w:szCs w:val="22"/>
              </w:rPr>
              <w:t xml:space="preserve">w tym wzór zgłoszenia </w:t>
            </w:r>
            <w:r w:rsidRPr="00542B68">
              <w:rPr>
                <w:color w:val="000000"/>
                <w:szCs w:val="22"/>
              </w:rPr>
              <w:t>zamieszcz</w:t>
            </w:r>
            <w:r>
              <w:rPr>
                <w:color w:val="000000"/>
                <w:szCs w:val="22"/>
              </w:rPr>
              <w:t>ona</w:t>
            </w:r>
            <w:r w:rsidRPr="00542B68">
              <w:rPr>
                <w:color w:val="000000"/>
                <w:szCs w:val="22"/>
              </w:rPr>
              <w:t xml:space="preserve"> je</w:t>
            </w:r>
            <w:r>
              <w:rPr>
                <w:color w:val="000000"/>
                <w:szCs w:val="22"/>
              </w:rPr>
              <w:t>st</w:t>
            </w:r>
            <w:r w:rsidRPr="00542B68">
              <w:rPr>
                <w:color w:val="000000"/>
                <w:szCs w:val="22"/>
              </w:rPr>
              <w:t xml:space="preserve"> na stronie internetowej pod adresem </w:t>
            </w:r>
            <w:hyperlink r:id="rId12" w:history="1">
              <w:r w:rsidR="00A7724B">
                <w:rPr>
                  <w:rStyle w:val="Hipercze"/>
                </w:rPr>
                <w:t>www.</w:t>
              </w:r>
              <w:r w:rsidR="009F37EA">
                <w:rPr>
                  <w:rStyle w:val="Hipercze"/>
                </w:rPr>
                <w:t>sodapolskaciech</w:t>
              </w:r>
              <w:r w:rsidR="00A7724B">
                <w:rPr>
                  <w:rStyle w:val="Hipercze"/>
                </w:rPr>
                <w:t>.pl</w:t>
              </w:r>
            </w:hyperlink>
            <w:r w:rsidR="00345B4D">
              <w:rPr>
                <w:rStyle w:val="Hipercze"/>
              </w:rPr>
              <w:t>.</w:t>
            </w:r>
          </w:p>
        </w:tc>
      </w:tr>
      <w:tr w:rsidR="00820976" w:rsidRPr="00F8567E" w:rsidTr="00345B4D">
        <w:trPr>
          <w:gridBefore w:val="1"/>
          <w:gridAfter w:val="1"/>
          <w:wBefore w:w="34" w:type="dxa"/>
          <w:wAfter w:w="253" w:type="dxa"/>
        </w:trPr>
        <w:tc>
          <w:tcPr>
            <w:tcW w:w="959" w:type="dxa"/>
            <w:gridSpan w:val="2"/>
          </w:tcPr>
          <w:p w:rsidR="00820976" w:rsidRDefault="00820976" w:rsidP="00CB3A12">
            <w:pPr>
              <w:pStyle w:val="styl0"/>
              <w:spacing w:before="120"/>
            </w:pPr>
            <w:r>
              <w:lastRenderedPageBreak/>
              <w:t>D.2.2.</w:t>
            </w:r>
          </w:p>
        </w:tc>
        <w:tc>
          <w:tcPr>
            <w:tcW w:w="8252" w:type="dxa"/>
          </w:tcPr>
          <w:p w:rsidR="00820976" w:rsidRPr="00596B4B" w:rsidRDefault="00820976" w:rsidP="00CB3A12">
            <w:pPr>
              <w:pStyle w:val="styl0"/>
              <w:spacing w:before="120"/>
            </w:pPr>
            <w:r w:rsidRPr="00596B4B">
              <w:t xml:space="preserve">Powiadomienie o zawartej umowie sprzedaży energii elektrycznej lub umowie kompleksowej </w:t>
            </w:r>
            <w:r w:rsidR="00CB3A12">
              <w:t>musi</w:t>
            </w:r>
            <w:r w:rsidRPr="00596B4B">
              <w:t xml:space="preserve"> być dokonane na co najmniej 21-dni kalendarzowych przed planowaną datą rozpoczęcia sprzedaży w ramach nowej umowy sprzedaży energii elektrycznej lub umowy kompleksowej.</w:t>
            </w:r>
          </w:p>
          <w:p w:rsidR="00820976" w:rsidRPr="00596B4B" w:rsidRDefault="00820976" w:rsidP="00CB3A12">
            <w:pPr>
              <w:pStyle w:val="styl0"/>
              <w:spacing w:before="120"/>
            </w:pPr>
            <w:r w:rsidRPr="00596B4B">
              <w:t xml:space="preserve">W przypadku </w:t>
            </w:r>
            <w:proofErr w:type="spellStart"/>
            <w:r w:rsidRPr="00596B4B">
              <w:t>URDo</w:t>
            </w:r>
            <w:proofErr w:type="spellEnd"/>
            <w:r w:rsidRPr="00596B4B">
              <w:t xml:space="preserve"> przyłączanych do sieci dystrybucyjnej </w:t>
            </w:r>
            <w:r w:rsidR="00E45165">
              <w:t>OSD</w:t>
            </w:r>
            <w:r w:rsidRPr="00596B4B">
              <w:t xml:space="preserve"> lub zmiany </w:t>
            </w:r>
            <w:proofErr w:type="spellStart"/>
            <w:r w:rsidRPr="00596B4B">
              <w:t>URDo</w:t>
            </w:r>
            <w:proofErr w:type="spellEnd"/>
            <w:r w:rsidRPr="00596B4B">
              <w:t xml:space="preserve"> dla istniejącego PPE przyłączonego do sieci dystrybucyjnej </w:t>
            </w:r>
            <w:r w:rsidR="00E45165">
              <w:t>OSD</w:t>
            </w:r>
            <w:r w:rsidRPr="00596B4B">
              <w:t xml:space="preserve">: Powiadomienie winno być złożone wraz z wnioskiem o zawarcie umowy dystrybucji, w sytuacji, gdy nie jest to umowa kompleksowa. Planowany termin wejścia w życie umowy sprzedaży energii elektrycznej lub umowy kompleksowej wskazany w powiadomieniu jest weryfikowany przez </w:t>
            </w:r>
            <w:r w:rsidR="00E45165">
              <w:t>OSD</w:t>
            </w:r>
            <w:r w:rsidRPr="00596B4B">
              <w:t xml:space="preserve">. </w:t>
            </w:r>
            <w:r w:rsidR="00E45165">
              <w:t>OSD</w:t>
            </w:r>
            <w:r w:rsidRPr="00596B4B">
              <w:t xml:space="preserve"> poinformuje Sprzedawcę o dacie uruchomienia dostaw, która może być inna niż wskazana w powiadomieniu.</w:t>
            </w:r>
          </w:p>
        </w:tc>
      </w:tr>
      <w:tr w:rsidR="00820976" w:rsidRPr="00F8567E" w:rsidTr="00345B4D">
        <w:trPr>
          <w:gridBefore w:val="1"/>
          <w:gridAfter w:val="1"/>
          <w:wBefore w:w="34" w:type="dxa"/>
          <w:wAfter w:w="253" w:type="dxa"/>
        </w:trPr>
        <w:tc>
          <w:tcPr>
            <w:tcW w:w="959" w:type="dxa"/>
            <w:gridSpan w:val="2"/>
          </w:tcPr>
          <w:p w:rsidR="00820976" w:rsidRDefault="00820976" w:rsidP="00CB3A12">
            <w:pPr>
              <w:pStyle w:val="styl0"/>
              <w:spacing w:before="120"/>
              <w:jc w:val="center"/>
            </w:pPr>
            <w:r>
              <w:t>D.2.3.</w:t>
            </w:r>
          </w:p>
        </w:tc>
        <w:tc>
          <w:tcPr>
            <w:tcW w:w="8252" w:type="dxa"/>
          </w:tcPr>
          <w:p w:rsidR="00820976" w:rsidRDefault="00820976" w:rsidP="00CB3A12">
            <w:pPr>
              <w:pStyle w:val="styl0"/>
              <w:spacing w:before="120"/>
            </w:pPr>
            <w:r w:rsidRPr="00596B4B">
              <w:t xml:space="preserve">Strony umowy sprzedaży energii elektrycznej lub umowy kompleksowej są zobowiązane do powiadomienia </w:t>
            </w:r>
            <w:r w:rsidR="00E45165">
              <w:t>OSD</w:t>
            </w:r>
            <w:r w:rsidRPr="00596B4B">
              <w:t xml:space="preserve">, nie później niż na </w:t>
            </w:r>
            <w:r w:rsidR="00CB3A12">
              <w:t>21</w:t>
            </w:r>
            <w:r w:rsidRPr="00596B4B">
              <w:t xml:space="preserve"> dni kalendarzowych przed upływem terminu obowiązywania umowy sprzedaży energii elektrycznej lub umowy kompleksowej zawartej z </w:t>
            </w:r>
            <w:proofErr w:type="spellStart"/>
            <w:r w:rsidRPr="00596B4B">
              <w:t>URDo</w:t>
            </w:r>
            <w:proofErr w:type="spellEnd"/>
            <w:r w:rsidRPr="00596B4B">
              <w:t xml:space="preserve"> na czas określony, o zawarciu przez Sprzedawcę nowej umowy sprzedaży energii elektrycznej lub umowy kompleksowej z tym </w:t>
            </w:r>
            <w:proofErr w:type="spellStart"/>
            <w:r w:rsidRPr="00596B4B">
              <w:t>URDo</w:t>
            </w:r>
            <w:proofErr w:type="spellEnd"/>
            <w:r w:rsidRPr="00596B4B">
              <w:t xml:space="preserve"> lub przedłużenia obowiązywania dotychczasowej umowy w drodze aneksu. Powiadomienia należy dokonać zgodnie z pkt. D.2.1.</w:t>
            </w:r>
          </w:p>
        </w:tc>
      </w:tr>
      <w:tr w:rsidR="00820976" w:rsidRPr="00F8567E" w:rsidTr="00345B4D">
        <w:trPr>
          <w:gridBefore w:val="1"/>
          <w:gridAfter w:val="1"/>
          <w:wBefore w:w="34" w:type="dxa"/>
          <w:wAfter w:w="253" w:type="dxa"/>
        </w:trPr>
        <w:tc>
          <w:tcPr>
            <w:tcW w:w="959" w:type="dxa"/>
            <w:gridSpan w:val="2"/>
          </w:tcPr>
          <w:p w:rsidR="00820976" w:rsidRDefault="00820976" w:rsidP="00CB3A12">
            <w:pPr>
              <w:pStyle w:val="styl0"/>
              <w:spacing w:before="120"/>
              <w:jc w:val="center"/>
            </w:pPr>
            <w:r>
              <w:t>D.2.4.</w:t>
            </w:r>
          </w:p>
        </w:tc>
        <w:tc>
          <w:tcPr>
            <w:tcW w:w="8252" w:type="dxa"/>
          </w:tcPr>
          <w:p w:rsidR="00820976" w:rsidRPr="00596B4B" w:rsidRDefault="00820976" w:rsidP="00CB3A12">
            <w:pPr>
              <w:pStyle w:val="styl0"/>
              <w:spacing w:before="120"/>
            </w:pPr>
            <w:r w:rsidRPr="00AF7DD8">
              <w:t xml:space="preserve">Sprzedawca zobowiązany jest do potwierdzenia </w:t>
            </w:r>
            <w:r w:rsidR="00E45165">
              <w:t>OSD</w:t>
            </w:r>
            <w:r w:rsidRPr="00AF7DD8">
              <w:t>, nie później niż na 30 dni kalendarzowych przed datą zakończenia obowiązywania umów zawartych na czas określony, braku sprzedaży energii po dacie zakończenia obowiązywania umowy.</w:t>
            </w:r>
          </w:p>
        </w:tc>
      </w:tr>
      <w:tr w:rsidR="00820976" w:rsidRPr="00F8567E" w:rsidTr="00345B4D">
        <w:trPr>
          <w:gridBefore w:val="1"/>
          <w:gridAfter w:val="1"/>
          <w:wBefore w:w="34" w:type="dxa"/>
          <w:wAfter w:w="253" w:type="dxa"/>
        </w:trPr>
        <w:tc>
          <w:tcPr>
            <w:tcW w:w="959" w:type="dxa"/>
            <w:gridSpan w:val="2"/>
          </w:tcPr>
          <w:p w:rsidR="00820976" w:rsidRDefault="00820976" w:rsidP="00CB3A12">
            <w:pPr>
              <w:pStyle w:val="styl0"/>
              <w:spacing w:before="120"/>
              <w:jc w:val="center"/>
            </w:pPr>
            <w:r>
              <w:t>D.2.5.</w:t>
            </w:r>
          </w:p>
        </w:tc>
        <w:tc>
          <w:tcPr>
            <w:tcW w:w="8252" w:type="dxa"/>
          </w:tcPr>
          <w:p w:rsidR="00820976" w:rsidRPr="00AF7DD8" w:rsidRDefault="00820976" w:rsidP="00CB3A12">
            <w:pPr>
              <w:pStyle w:val="styl0"/>
              <w:spacing w:before="120"/>
            </w:pPr>
            <w:r w:rsidRPr="000A436C">
              <w:t xml:space="preserve">W przypadku potwierdzenia przez Sprzedawcę, o którym mowa w pkt. D.2.6., zakończenia obowiązywania umowy sprzedaży energii elektrycznej lub umowy kompleksowej zawartej z </w:t>
            </w:r>
            <w:proofErr w:type="spellStart"/>
            <w:r w:rsidRPr="000A436C">
              <w:t>URDo</w:t>
            </w:r>
            <w:proofErr w:type="spellEnd"/>
            <w:r w:rsidRPr="000A436C">
              <w:t xml:space="preserve"> </w:t>
            </w:r>
            <w:r w:rsidR="00E45165">
              <w:t>OSD</w:t>
            </w:r>
            <w:r w:rsidRPr="000A436C">
              <w:t xml:space="preserve">, w terminie 5 dni roboczych od dnia otrzymania od Sprzedawcy powyższego potwierdzenia, informuje </w:t>
            </w:r>
            <w:proofErr w:type="spellStart"/>
            <w:r w:rsidRPr="000A436C">
              <w:t>URDo</w:t>
            </w:r>
            <w:proofErr w:type="spellEnd"/>
            <w:r w:rsidRPr="000A436C">
              <w:t xml:space="preserve"> o braku możliwości dostarczania energii elektrycznej po zakończeniu obowiązywania dotychczasowej umowy sprzedaży energii elektrycznej lub umowy kompleksowej. OSD informuje również o konieczności zawarcia i zgłoszenia nowej umowy sprzedaży energii elektrycznej lub umowy kompleksowej w trybie zgodnym z </w:t>
            </w:r>
            <w:proofErr w:type="spellStart"/>
            <w:r w:rsidRPr="000A436C">
              <w:t>IRiESD</w:t>
            </w:r>
            <w:proofErr w:type="spellEnd"/>
            <w:r w:rsidRPr="000A436C">
              <w:t xml:space="preserve">. W przypadku niedopełnia powyższego przez </w:t>
            </w:r>
            <w:proofErr w:type="spellStart"/>
            <w:r w:rsidRPr="000A436C">
              <w:t>URDo</w:t>
            </w:r>
            <w:proofErr w:type="spellEnd"/>
            <w:r w:rsidRPr="000A436C">
              <w:t xml:space="preserve"> </w:t>
            </w:r>
            <w:r w:rsidR="00E45165">
              <w:t>OSD</w:t>
            </w:r>
            <w:r w:rsidRPr="000A436C">
              <w:t xml:space="preserve"> wszczyna procedurę odłączenia dostawy energii elektrycznej.</w:t>
            </w:r>
          </w:p>
        </w:tc>
      </w:tr>
      <w:tr w:rsidR="00820976" w:rsidRPr="00F8567E" w:rsidTr="00345B4D">
        <w:trPr>
          <w:gridBefore w:val="1"/>
          <w:gridAfter w:val="1"/>
          <w:wBefore w:w="34" w:type="dxa"/>
          <w:wAfter w:w="253" w:type="dxa"/>
        </w:trPr>
        <w:tc>
          <w:tcPr>
            <w:tcW w:w="959" w:type="dxa"/>
            <w:gridSpan w:val="2"/>
          </w:tcPr>
          <w:p w:rsidR="00820976" w:rsidRDefault="00820976" w:rsidP="00CB3A12">
            <w:pPr>
              <w:pStyle w:val="styl0"/>
              <w:spacing w:before="120"/>
              <w:jc w:val="center"/>
            </w:pPr>
            <w:r>
              <w:t>D.2.6.</w:t>
            </w:r>
          </w:p>
        </w:tc>
        <w:tc>
          <w:tcPr>
            <w:tcW w:w="8252" w:type="dxa"/>
          </w:tcPr>
          <w:p w:rsidR="00820976" w:rsidRDefault="00820976" w:rsidP="00CB3A12">
            <w:pPr>
              <w:pStyle w:val="styl0"/>
              <w:spacing w:before="120"/>
            </w:pPr>
            <w:r w:rsidRPr="005C478B">
              <w:t>W przypadku braku powiadomienia lub niedotrzymania przez Strony umowy sprzedaży energii elektrycznej lub umowy kompleksowej terminu, o którym mowa w pkt. D.2.</w:t>
            </w:r>
            <w:r>
              <w:t>3</w:t>
            </w:r>
            <w:r w:rsidRPr="005C478B">
              <w:t>. lub D.2.</w:t>
            </w:r>
            <w:r>
              <w:t>4</w:t>
            </w:r>
            <w:r w:rsidRPr="005C478B">
              <w:t xml:space="preserve">. uznaje się, że sprzedaż energii elektrycznej do </w:t>
            </w:r>
            <w:proofErr w:type="spellStart"/>
            <w:r w:rsidRPr="005C478B">
              <w:t>URDo</w:t>
            </w:r>
            <w:proofErr w:type="spellEnd"/>
            <w:r w:rsidRPr="005C478B">
              <w:t xml:space="preserve"> jest nadal prowadzona przez obecnego Sprzedawcę na dotychczasowych warunkach – do momentu dokonania przez Strony umowy sprzedaży energii elektrycznej lub umowy kompleksowej zgłoszenia określonego w pkt. D.2.</w:t>
            </w:r>
            <w:r>
              <w:t>2</w:t>
            </w:r>
            <w:r w:rsidRPr="005C478B">
              <w:t>. lub zgłoszenia nowych warunków umowy sprzedaży zgodnie z pkt. D.2.</w:t>
            </w:r>
            <w:r>
              <w:t>3</w:t>
            </w:r>
            <w:r w:rsidRPr="005C478B">
              <w:t>.</w:t>
            </w:r>
          </w:p>
          <w:p w:rsidR="00820976" w:rsidRDefault="00820976" w:rsidP="00CB3A12">
            <w:pPr>
              <w:pStyle w:val="styl0"/>
              <w:spacing w:before="120"/>
            </w:pPr>
          </w:p>
          <w:p w:rsidR="00820976" w:rsidRPr="000A436C" w:rsidRDefault="00820976" w:rsidP="00CB3A12">
            <w:pPr>
              <w:pStyle w:val="styl0"/>
              <w:spacing w:before="120"/>
            </w:pPr>
          </w:p>
        </w:tc>
      </w:tr>
      <w:tr w:rsidR="00345B4D" w:rsidRPr="00F8567E" w:rsidTr="00345B4D">
        <w:trPr>
          <w:gridBefore w:val="1"/>
          <w:gridAfter w:val="1"/>
          <w:wBefore w:w="34" w:type="dxa"/>
          <w:wAfter w:w="253" w:type="dxa"/>
        </w:trPr>
        <w:tc>
          <w:tcPr>
            <w:tcW w:w="959" w:type="dxa"/>
            <w:gridSpan w:val="2"/>
          </w:tcPr>
          <w:p w:rsidR="00345B4D" w:rsidRDefault="00345B4D" w:rsidP="00CB3A12">
            <w:pPr>
              <w:pStyle w:val="styl0"/>
              <w:spacing w:before="120"/>
              <w:jc w:val="center"/>
            </w:pPr>
          </w:p>
        </w:tc>
        <w:tc>
          <w:tcPr>
            <w:tcW w:w="8252" w:type="dxa"/>
          </w:tcPr>
          <w:p w:rsidR="00345B4D" w:rsidRPr="005C478B" w:rsidRDefault="00345B4D" w:rsidP="00CB3A12">
            <w:pPr>
              <w:pStyle w:val="styl0"/>
              <w:spacing w:before="120"/>
            </w:pPr>
          </w:p>
        </w:tc>
      </w:tr>
      <w:tr w:rsidR="00345B4D" w:rsidTr="00345B4D">
        <w:tc>
          <w:tcPr>
            <w:tcW w:w="930" w:type="dxa"/>
            <w:gridSpan w:val="2"/>
          </w:tcPr>
          <w:p w:rsidR="00345B4D" w:rsidRDefault="00345B4D" w:rsidP="00CB3A12">
            <w:pPr>
              <w:pStyle w:val="styl0"/>
              <w:spacing w:before="120"/>
              <w:rPr>
                <w:b/>
              </w:rPr>
            </w:pPr>
            <w:r>
              <w:rPr>
                <w:b/>
              </w:rPr>
              <w:t>D.3.</w:t>
            </w:r>
          </w:p>
        </w:tc>
        <w:tc>
          <w:tcPr>
            <w:tcW w:w="8568" w:type="dxa"/>
            <w:gridSpan w:val="3"/>
          </w:tcPr>
          <w:p w:rsidR="00345B4D" w:rsidRDefault="00345B4D" w:rsidP="00CB3A12">
            <w:pPr>
              <w:pStyle w:val="styl0"/>
              <w:spacing w:before="120"/>
              <w:rPr>
                <w:b/>
                <w:sz w:val="56"/>
                <w:szCs w:val="56"/>
              </w:rPr>
            </w:pPr>
            <w:r>
              <w:rPr>
                <w:b/>
              </w:rPr>
              <w:t>PROCEDURA ZMIANY SPRZEDAWCY PRZEZ ODBIORCĘ</w:t>
            </w:r>
          </w:p>
        </w:tc>
      </w:tr>
      <w:tr w:rsidR="00345B4D" w:rsidRPr="000344AA" w:rsidTr="00345B4D">
        <w:tc>
          <w:tcPr>
            <w:tcW w:w="930" w:type="dxa"/>
            <w:gridSpan w:val="2"/>
          </w:tcPr>
          <w:p w:rsidR="00345B4D" w:rsidRDefault="00345B4D" w:rsidP="00CB3A12">
            <w:pPr>
              <w:pStyle w:val="styl0"/>
              <w:spacing w:before="120"/>
            </w:pPr>
            <w:r>
              <w:t>D.3.1.</w:t>
            </w:r>
          </w:p>
        </w:tc>
        <w:tc>
          <w:tcPr>
            <w:tcW w:w="8568" w:type="dxa"/>
            <w:gridSpan w:val="3"/>
          </w:tcPr>
          <w:p w:rsidR="00345B4D" w:rsidRPr="000344AA" w:rsidRDefault="00345B4D" w:rsidP="00CB3A12">
            <w:pPr>
              <w:pStyle w:val="styl0"/>
              <w:spacing w:before="120"/>
              <w:jc w:val="left"/>
              <w:rPr>
                <w:lang w:val="x-none"/>
              </w:rPr>
            </w:pPr>
            <w:proofErr w:type="spellStart"/>
            <w:r w:rsidRPr="008F0759">
              <w:rPr>
                <w:color w:val="000000"/>
                <w:szCs w:val="22"/>
              </w:rPr>
              <w:t>URDo</w:t>
            </w:r>
            <w:proofErr w:type="spellEnd"/>
            <w:r w:rsidRPr="008F0759">
              <w:rPr>
                <w:color w:val="000000"/>
                <w:szCs w:val="22"/>
              </w:rPr>
              <w:t xml:space="preserve"> dokonuje wyboru sprzedawcy i zawiera z nim umowę sprzedaży energii elektrycznej lub umowę kompleksową. Umowa kompleksowa dotyczy wyłącznie </w:t>
            </w:r>
            <w:proofErr w:type="spellStart"/>
            <w:r w:rsidRPr="008F0759">
              <w:rPr>
                <w:color w:val="000000"/>
                <w:szCs w:val="22"/>
              </w:rPr>
              <w:t>URDo</w:t>
            </w:r>
            <w:proofErr w:type="spellEnd"/>
            <w:r w:rsidRPr="008F0759">
              <w:rPr>
                <w:color w:val="000000"/>
                <w:szCs w:val="22"/>
              </w:rPr>
              <w:t xml:space="preserve"> w gospodarstwach domowych przyłączonych do sieci niskiego napięcia.</w:t>
            </w:r>
          </w:p>
        </w:tc>
      </w:tr>
      <w:tr w:rsidR="00345B4D" w:rsidRPr="00386B53" w:rsidTr="00345B4D">
        <w:tc>
          <w:tcPr>
            <w:tcW w:w="930" w:type="dxa"/>
            <w:gridSpan w:val="2"/>
          </w:tcPr>
          <w:p w:rsidR="00345B4D" w:rsidRDefault="00345B4D" w:rsidP="00CB3A12">
            <w:pPr>
              <w:pStyle w:val="styl0"/>
              <w:spacing w:before="120"/>
            </w:pPr>
            <w:r>
              <w:t>D.3.2.</w:t>
            </w:r>
          </w:p>
        </w:tc>
        <w:tc>
          <w:tcPr>
            <w:tcW w:w="8568" w:type="dxa"/>
            <w:gridSpan w:val="3"/>
          </w:tcPr>
          <w:p w:rsidR="00345B4D" w:rsidRPr="00386B53" w:rsidRDefault="00345B4D" w:rsidP="00CB3A12">
            <w:pPr>
              <w:pStyle w:val="styl0"/>
              <w:spacing w:before="120"/>
            </w:pPr>
            <w:proofErr w:type="spellStart"/>
            <w:r>
              <w:t>URDo</w:t>
            </w:r>
            <w:proofErr w:type="spellEnd"/>
            <w:r>
              <w:t xml:space="preserve"> lub upoważniony przez </w:t>
            </w:r>
            <w:proofErr w:type="spellStart"/>
            <w:r>
              <w:t>URDo</w:t>
            </w:r>
            <w:proofErr w:type="spellEnd"/>
            <w:r>
              <w:t xml:space="preserve"> nowy Sprzedawca wypowiada umowę sprzedaży energii elektrycznej lub umowę kompleksową zawartą z dotychczasowym sprzedawcą energii elektrycznej.</w:t>
            </w:r>
          </w:p>
        </w:tc>
      </w:tr>
      <w:tr w:rsidR="00345B4D" w:rsidTr="00345B4D">
        <w:tc>
          <w:tcPr>
            <w:tcW w:w="930" w:type="dxa"/>
            <w:gridSpan w:val="2"/>
          </w:tcPr>
          <w:p w:rsidR="00345B4D" w:rsidRDefault="00345B4D" w:rsidP="00CB3A12">
            <w:pPr>
              <w:pStyle w:val="styl0"/>
              <w:spacing w:before="120"/>
            </w:pPr>
            <w:r>
              <w:t>D.3.3.</w:t>
            </w:r>
          </w:p>
        </w:tc>
        <w:tc>
          <w:tcPr>
            <w:tcW w:w="8568" w:type="dxa"/>
            <w:gridSpan w:val="3"/>
          </w:tcPr>
          <w:p w:rsidR="00345B4D" w:rsidRDefault="00345B4D" w:rsidP="00CB3A12">
            <w:pPr>
              <w:pStyle w:val="styl0"/>
              <w:spacing w:before="120"/>
            </w:pPr>
            <w:proofErr w:type="spellStart"/>
            <w:r w:rsidRPr="00AB1492">
              <w:t>URDo</w:t>
            </w:r>
            <w:proofErr w:type="spellEnd"/>
            <w:r w:rsidRPr="00AB1492">
              <w:t xml:space="preserve"> lub upoważniony przez niego nowy sprzedawca powiadamia </w:t>
            </w:r>
            <w:r w:rsidR="00E45165">
              <w:t>OSD</w:t>
            </w:r>
            <w:r w:rsidRPr="00AB1492">
              <w:t xml:space="preserve"> (na zasadach opisanych w pkt. D.2.) o zawarciu umowy sprzedaży energii elektrycznej lub umowy kompleksowej przez tego </w:t>
            </w:r>
            <w:proofErr w:type="spellStart"/>
            <w:r w:rsidRPr="00AB1492">
              <w:t>URDo</w:t>
            </w:r>
            <w:proofErr w:type="spellEnd"/>
            <w:r w:rsidRPr="00AB1492">
              <w:t xml:space="preserve"> z nowym sprzedawcą. W powiadomieniu sprzedawca może określić dzień rozpoczęcia sprzedaży energii elektrycznej </w:t>
            </w:r>
            <w:proofErr w:type="spellStart"/>
            <w:r w:rsidRPr="00AB1492">
              <w:t>URDo</w:t>
            </w:r>
            <w:proofErr w:type="spellEnd"/>
            <w:r w:rsidRPr="00AB1492">
              <w:t>, w przypadku, gdy dzień ten przypada później niż 21 dni kalendarzowych od daty powiadomienia.</w:t>
            </w:r>
          </w:p>
        </w:tc>
      </w:tr>
      <w:tr w:rsidR="00345B4D" w:rsidRPr="00386B53" w:rsidTr="00345B4D">
        <w:tc>
          <w:tcPr>
            <w:tcW w:w="930" w:type="dxa"/>
            <w:gridSpan w:val="2"/>
          </w:tcPr>
          <w:p w:rsidR="00345B4D" w:rsidRDefault="00345B4D" w:rsidP="00CB3A12">
            <w:pPr>
              <w:pStyle w:val="styl0"/>
              <w:spacing w:before="120"/>
            </w:pPr>
            <w:r>
              <w:t>D.3.4.</w:t>
            </w:r>
          </w:p>
        </w:tc>
        <w:tc>
          <w:tcPr>
            <w:tcW w:w="8568" w:type="dxa"/>
            <w:gridSpan w:val="3"/>
          </w:tcPr>
          <w:p w:rsidR="00345B4D" w:rsidRPr="00386B53" w:rsidRDefault="00345B4D" w:rsidP="00CB3A12">
            <w:pPr>
              <w:ind w:firstLine="0"/>
            </w:pPr>
            <w:proofErr w:type="spellStart"/>
            <w:r w:rsidRPr="00AB1492">
              <w:t>URDo</w:t>
            </w:r>
            <w:proofErr w:type="spellEnd"/>
            <w:r w:rsidRPr="00AB1492">
              <w:t xml:space="preserve">, w dniu złożenia przez sprzedawcę powiadomienia, o którym mowa w pkt. D.3.3., dotyczącego zgłoszenia umowy sprzedaży energii elektrycznej (nie dotyczy zgłoszeń umów kompleksowych), powinien mieć zawartą umowę o świadczenie usług dystrybucji energii elektrycznej z </w:t>
            </w:r>
            <w:r w:rsidR="00E45165">
              <w:t>OSD</w:t>
            </w:r>
            <w:r w:rsidRPr="00AB1492">
              <w:t>, za wyjątkiem sytuacji opisanej w pkt. D.2.3. i pkt. D.3.5.</w:t>
            </w:r>
          </w:p>
        </w:tc>
      </w:tr>
      <w:tr w:rsidR="00345B4D" w:rsidRPr="00386B53" w:rsidTr="00345B4D">
        <w:tc>
          <w:tcPr>
            <w:tcW w:w="930" w:type="dxa"/>
            <w:gridSpan w:val="2"/>
          </w:tcPr>
          <w:p w:rsidR="00345B4D" w:rsidRDefault="00345B4D" w:rsidP="00CB3A12">
            <w:pPr>
              <w:pStyle w:val="styl0"/>
              <w:spacing w:before="120"/>
            </w:pPr>
            <w:r>
              <w:t>D.3.5.</w:t>
            </w:r>
          </w:p>
        </w:tc>
        <w:tc>
          <w:tcPr>
            <w:tcW w:w="8568" w:type="dxa"/>
            <w:gridSpan w:val="3"/>
          </w:tcPr>
          <w:p w:rsidR="00345B4D" w:rsidRPr="00386B53" w:rsidRDefault="00345B4D" w:rsidP="00CB3A12">
            <w:pPr>
              <w:pStyle w:val="styl0"/>
              <w:spacing w:before="120"/>
            </w:pPr>
            <w:r>
              <w:t xml:space="preserve">W przypadku braku zawartej umowy o świadczenie usług dystrybucji energii elektrycznej, o której mowa w pkt. D.3.4., </w:t>
            </w:r>
            <w:r w:rsidR="00CB3A12">
              <w:t>sprzedawca zawiera umowę o świadczenie usług dystrybucji wg zasad opisanych w D.1.4.</w:t>
            </w:r>
          </w:p>
        </w:tc>
      </w:tr>
      <w:tr w:rsidR="00345B4D" w:rsidTr="00345B4D">
        <w:tc>
          <w:tcPr>
            <w:tcW w:w="930" w:type="dxa"/>
            <w:gridSpan w:val="2"/>
          </w:tcPr>
          <w:p w:rsidR="00345B4D" w:rsidRDefault="00345B4D" w:rsidP="00CB3A12">
            <w:pPr>
              <w:pStyle w:val="styl0"/>
              <w:spacing w:before="120"/>
            </w:pPr>
            <w:r>
              <w:t>D.3.6.</w:t>
            </w:r>
          </w:p>
        </w:tc>
        <w:tc>
          <w:tcPr>
            <w:tcW w:w="8568" w:type="dxa"/>
            <w:gridSpan w:val="3"/>
          </w:tcPr>
          <w:p w:rsidR="00345B4D" w:rsidRDefault="00345B4D" w:rsidP="00CB3A12">
            <w:pPr>
              <w:pStyle w:val="styl0"/>
              <w:spacing w:before="120"/>
            </w:pPr>
            <w:r w:rsidRPr="00A0193C">
              <w:t xml:space="preserve">W sytuacji wskazanej w pkt. D.3.5., w przypadku pozytywnej weryfikacji powiadomienia, o którym mowa w pkt. D.3.3., </w:t>
            </w:r>
            <w:r w:rsidR="00E45165">
              <w:t>OSD</w:t>
            </w:r>
            <w:r w:rsidRPr="00A0193C">
              <w:t xml:space="preserve"> przekazuje nowemu Sprzedawcy parafowaną umowę o świadczenie usług dystrybucji energii elektrycznej celem jej podpisania zgodnie z posiadanym pełnomocnictwem.</w:t>
            </w:r>
          </w:p>
        </w:tc>
      </w:tr>
      <w:tr w:rsidR="00345B4D" w:rsidRPr="00A0193C" w:rsidTr="00345B4D">
        <w:tc>
          <w:tcPr>
            <w:tcW w:w="930" w:type="dxa"/>
            <w:gridSpan w:val="2"/>
          </w:tcPr>
          <w:p w:rsidR="00345B4D" w:rsidRDefault="00345B4D" w:rsidP="00CB3A12">
            <w:pPr>
              <w:pStyle w:val="styl0"/>
              <w:spacing w:before="120"/>
            </w:pPr>
            <w:r>
              <w:t>D.3.7.</w:t>
            </w:r>
          </w:p>
        </w:tc>
        <w:tc>
          <w:tcPr>
            <w:tcW w:w="8568" w:type="dxa"/>
            <w:gridSpan w:val="3"/>
          </w:tcPr>
          <w:p w:rsidR="00345B4D" w:rsidRDefault="00E45165" w:rsidP="00CB3A12">
            <w:pPr>
              <w:pStyle w:val="styl0"/>
              <w:spacing w:before="120"/>
            </w:pPr>
            <w:r>
              <w:t>OSD</w:t>
            </w:r>
            <w:r w:rsidR="00345B4D">
              <w:t xml:space="preserve"> w terminie do 5 dni roboczych od dnia otrzymania powiadomienia, o którym mowa w pkt. D.3.3, dokonuje jego weryfikacji w zakresie określonym w pkt. D.2.2. oraz informuje podmiot, który przedłożył powiadomienie o wyniku weryfikacji.</w:t>
            </w:r>
          </w:p>
          <w:p w:rsidR="00345B4D" w:rsidRPr="00A0193C" w:rsidRDefault="00345B4D" w:rsidP="00CB3A12">
            <w:pPr>
              <w:pStyle w:val="styl0"/>
              <w:spacing w:before="120"/>
            </w:pPr>
            <w:r>
              <w:t xml:space="preserve">Powiadomienia weryfikowane są również w zakresie dostosowania układu pomiarowo-rozliczeniowego do wymagań zawartych w </w:t>
            </w:r>
            <w:proofErr w:type="spellStart"/>
            <w:r>
              <w:t>IRiESD</w:t>
            </w:r>
            <w:proofErr w:type="spellEnd"/>
            <w:r>
              <w:t xml:space="preserve">, posiadania przez </w:t>
            </w:r>
            <w:proofErr w:type="spellStart"/>
            <w:r>
              <w:t>URDo</w:t>
            </w:r>
            <w:proofErr w:type="spellEnd"/>
            <w:r>
              <w:t xml:space="preserve"> umowy dystrybucji zawartej z </w:t>
            </w:r>
            <w:r w:rsidR="00E45165">
              <w:t>OSD</w:t>
            </w:r>
            <w:r>
              <w:t>, pełnomocnictwa, o którym mowa w pkt. D.3.5. oraz w przypadku zgłaszania umów kompleksowych parametrów technicznych dostaw.</w:t>
            </w:r>
          </w:p>
        </w:tc>
      </w:tr>
      <w:tr w:rsidR="00345B4D" w:rsidTr="00345B4D">
        <w:tc>
          <w:tcPr>
            <w:tcW w:w="930" w:type="dxa"/>
            <w:gridSpan w:val="2"/>
          </w:tcPr>
          <w:p w:rsidR="00345B4D" w:rsidRDefault="00345B4D" w:rsidP="00CB3A12">
            <w:pPr>
              <w:pStyle w:val="styl0"/>
              <w:spacing w:before="120"/>
            </w:pPr>
            <w:r>
              <w:t>D.3.8.</w:t>
            </w:r>
          </w:p>
        </w:tc>
        <w:tc>
          <w:tcPr>
            <w:tcW w:w="8568" w:type="dxa"/>
            <w:gridSpan w:val="3"/>
          </w:tcPr>
          <w:p w:rsidR="00345B4D" w:rsidRDefault="00345B4D" w:rsidP="00CB3A12">
            <w:pPr>
              <w:pStyle w:val="styl0"/>
              <w:spacing w:before="120"/>
            </w:pPr>
            <w:r w:rsidRPr="00920DCC">
              <w:t xml:space="preserve">Jeżeli powiadomienie, o którym mowa w pkt. D.3.3. zawiera braki formalne lub błędy, </w:t>
            </w:r>
            <w:r w:rsidR="00E45165">
              <w:t>OSD</w:t>
            </w:r>
            <w:r w:rsidRPr="00920DCC">
              <w:t xml:space="preserve"> informuje o tym podmiot, który przedłożył powiadomienie w terminie nie dłuższym niż 5 dni roboczych od dnia otrzymania tego powiadomienia, wykazując wszystkie braki lub błędy i informując o konieczności ich uzupełnienia lub poprawy.</w:t>
            </w:r>
          </w:p>
        </w:tc>
      </w:tr>
      <w:tr w:rsidR="00345B4D" w:rsidRPr="00920DCC" w:rsidTr="00345B4D">
        <w:tc>
          <w:tcPr>
            <w:tcW w:w="930" w:type="dxa"/>
            <w:gridSpan w:val="2"/>
          </w:tcPr>
          <w:p w:rsidR="00345B4D" w:rsidRDefault="00345B4D" w:rsidP="00CB3A12">
            <w:pPr>
              <w:pStyle w:val="styl0"/>
              <w:spacing w:before="120"/>
            </w:pPr>
            <w:r>
              <w:t>D.3.9.</w:t>
            </w:r>
          </w:p>
        </w:tc>
        <w:tc>
          <w:tcPr>
            <w:tcW w:w="8568" w:type="dxa"/>
            <w:gridSpan w:val="3"/>
          </w:tcPr>
          <w:p w:rsidR="00345B4D" w:rsidRPr="00920DCC" w:rsidRDefault="00345B4D" w:rsidP="00CB3A12">
            <w:pPr>
              <w:pStyle w:val="styl0"/>
              <w:spacing w:before="120"/>
            </w:pPr>
            <w:r w:rsidRPr="00674D32">
              <w:t xml:space="preserve">Jeżeli braki formalne lub błędy, o których mowa w punkcie D.3.8. nie zostaną uzupełnione w terminie nie dłuższym niż 5 dni roboczych, </w:t>
            </w:r>
            <w:r w:rsidR="00E45165">
              <w:t>OSD</w:t>
            </w:r>
            <w:r w:rsidRPr="00674D32">
              <w:t xml:space="preserve"> dokonuje negatywnej </w:t>
            </w:r>
            <w:r w:rsidRPr="00674D32">
              <w:lastRenderedPageBreak/>
              <w:t>weryfikacji powiadomienia, o którym mowa w pkt. D.3.3., z zastrzeżeniem D.1.3., informując o tym podmiot, który przedłożył powiadomienie oraz dotychczasowego sprzedawcę.</w:t>
            </w:r>
          </w:p>
        </w:tc>
      </w:tr>
      <w:tr w:rsidR="00345B4D" w:rsidRPr="00674D32" w:rsidTr="00345B4D">
        <w:tc>
          <w:tcPr>
            <w:tcW w:w="930" w:type="dxa"/>
            <w:gridSpan w:val="2"/>
          </w:tcPr>
          <w:p w:rsidR="00345B4D" w:rsidRDefault="00345B4D" w:rsidP="00CB3A12">
            <w:pPr>
              <w:pStyle w:val="styl0"/>
              <w:spacing w:before="120"/>
            </w:pPr>
            <w:r>
              <w:lastRenderedPageBreak/>
              <w:t>D.3.10</w:t>
            </w:r>
          </w:p>
        </w:tc>
        <w:tc>
          <w:tcPr>
            <w:tcW w:w="8568" w:type="dxa"/>
            <w:gridSpan w:val="3"/>
          </w:tcPr>
          <w:p w:rsidR="00345B4D" w:rsidRPr="00674D32" w:rsidRDefault="00E45165" w:rsidP="00CB3A12">
            <w:pPr>
              <w:pStyle w:val="styl0"/>
              <w:spacing w:before="120"/>
            </w:pPr>
            <w:r>
              <w:t>OSD</w:t>
            </w:r>
            <w:r w:rsidR="00345B4D" w:rsidRPr="003A1D65">
              <w:t>, w terminie nie przekraczającym ostatniego dnia weryfikacji, o którym mowa w pkt. D.3.7. przekazuje do nowego sprzedawcy informację o pozytywnym lub negatywnym wyniku przeprowadzonej weryfikacji</w:t>
            </w:r>
            <w:r w:rsidR="00345B4D">
              <w:t>.</w:t>
            </w:r>
          </w:p>
        </w:tc>
      </w:tr>
      <w:tr w:rsidR="00345B4D" w:rsidTr="00345B4D">
        <w:tc>
          <w:tcPr>
            <w:tcW w:w="930" w:type="dxa"/>
            <w:gridSpan w:val="2"/>
          </w:tcPr>
          <w:p w:rsidR="00345B4D" w:rsidRDefault="00345B4D" w:rsidP="00CB3A12">
            <w:pPr>
              <w:pStyle w:val="styl0"/>
              <w:spacing w:before="120"/>
            </w:pPr>
            <w:r>
              <w:t>D.3.11.</w:t>
            </w:r>
          </w:p>
        </w:tc>
        <w:tc>
          <w:tcPr>
            <w:tcW w:w="8568" w:type="dxa"/>
            <w:gridSpan w:val="3"/>
          </w:tcPr>
          <w:p w:rsidR="00345B4D" w:rsidRDefault="00345B4D" w:rsidP="00CB3A12">
            <w:pPr>
              <w:pStyle w:val="styl0"/>
              <w:spacing w:before="120"/>
            </w:pPr>
            <w:r w:rsidRPr="00883DC0">
              <w:t>W przypadku pozytywnej weryfikacji powiadomienia o jego wyniku informowany jest dotychczasowy sprzedawca w terminie nie przekraczającym ostatniego dnia weryfikacji, o którym mowa w pkt. D.3.7.</w:t>
            </w:r>
          </w:p>
        </w:tc>
      </w:tr>
      <w:tr w:rsidR="00345B4D" w:rsidRPr="00883DC0" w:rsidTr="00345B4D">
        <w:tc>
          <w:tcPr>
            <w:tcW w:w="930" w:type="dxa"/>
            <w:gridSpan w:val="2"/>
          </w:tcPr>
          <w:p w:rsidR="00345B4D" w:rsidRDefault="00345B4D" w:rsidP="00CB3A12">
            <w:pPr>
              <w:pStyle w:val="styl0"/>
              <w:spacing w:before="120"/>
            </w:pPr>
            <w:r>
              <w:t>D.3.12.</w:t>
            </w:r>
          </w:p>
        </w:tc>
        <w:tc>
          <w:tcPr>
            <w:tcW w:w="8568" w:type="dxa"/>
            <w:gridSpan w:val="3"/>
          </w:tcPr>
          <w:p w:rsidR="00345B4D" w:rsidRPr="00883DC0" w:rsidRDefault="00345B4D" w:rsidP="00CB3A12">
            <w:pPr>
              <w:pStyle w:val="styl0"/>
              <w:spacing w:before="120"/>
            </w:pPr>
            <w:r w:rsidRPr="008031B8">
              <w:t xml:space="preserve">W celu realizacji umowy sprzedaży energii elektrycznej, o której mowa w pkt. D.3.1, </w:t>
            </w:r>
            <w:proofErr w:type="spellStart"/>
            <w:r w:rsidRPr="008031B8">
              <w:t>URDo</w:t>
            </w:r>
            <w:proofErr w:type="spellEnd"/>
            <w:r w:rsidRPr="008031B8">
              <w:t xml:space="preserve"> zawiera z</w:t>
            </w:r>
            <w:r>
              <w:t xml:space="preserve"> </w:t>
            </w:r>
            <w:r w:rsidR="00E45165">
              <w:t>OSD</w:t>
            </w:r>
            <w:r w:rsidRPr="008031B8">
              <w:t xml:space="preserve"> umowę dystrybucji lub dokonuje aktualizacji umowy. Umowa dystrybucji może być zawarta przez upoważniony podmiot (np. Sprzedawcę) w imieniu i na rzecz </w:t>
            </w:r>
            <w:proofErr w:type="spellStart"/>
            <w:r w:rsidRPr="008031B8">
              <w:t>URDo</w:t>
            </w:r>
            <w:proofErr w:type="spellEnd"/>
            <w:r w:rsidRPr="008031B8">
              <w:t xml:space="preserve">. Wymóg zawarcia umowy dystrybucji nie dotyczy zawartej wcześniej przez </w:t>
            </w:r>
            <w:proofErr w:type="spellStart"/>
            <w:r w:rsidRPr="008031B8">
              <w:t>URDo</w:t>
            </w:r>
            <w:proofErr w:type="spellEnd"/>
            <w:r w:rsidRPr="008031B8">
              <w:t xml:space="preserve"> i nowego Sprzedawcę umowy kompleksowej w gospodarstwie domowym.</w:t>
            </w:r>
          </w:p>
        </w:tc>
      </w:tr>
      <w:tr w:rsidR="00345B4D" w:rsidRPr="008031B8" w:rsidTr="00345B4D">
        <w:tc>
          <w:tcPr>
            <w:tcW w:w="930" w:type="dxa"/>
            <w:gridSpan w:val="2"/>
          </w:tcPr>
          <w:p w:rsidR="00345B4D" w:rsidRDefault="00345B4D" w:rsidP="00CB3A12">
            <w:pPr>
              <w:pStyle w:val="styl0"/>
              <w:spacing w:before="120"/>
            </w:pPr>
            <w:r>
              <w:t>D.3.13</w:t>
            </w:r>
          </w:p>
        </w:tc>
        <w:tc>
          <w:tcPr>
            <w:tcW w:w="8568" w:type="dxa"/>
            <w:gridSpan w:val="3"/>
          </w:tcPr>
          <w:p w:rsidR="00345B4D" w:rsidRPr="008031B8" w:rsidRDefault="00345B4D" w:rsidP="00CB3A12">
            <w:pPr>
              <w:pStyle w:val="styl0"/>
              <w:spacing w:before="120"/>
            </w:pPr>
            <w:r>
              <w:t>OSD</w:t>
            </w:r>
            <w:r w:rsidRPr="00175D7F">
              <w:t xml:space="preserve"> przekazuje do </w:t>
            </w:r>
            <w:proofErr w:type="spellStart"/>
            <w:r w:rsidRPr="00175D7F">
              <w:t>URDo</w:t>
            </w:r>
            <w:proofErr w:type="spellEnd"/>
            <w:r w:rsidRPr="00175D7F">
              <w:t xml:space="preserve"> informację o przyjęciu do realizacji nowej umowy sprzedaży energii elektrycznej lub umowy kompleksowej wraz z oznaczeniem nowego sprzedawcy.</w:t>
            </w:r>
          </w:p>
        </w:tc>
      </w:tr>
      <w:tr w:rsidR="00345B4D" w:rsidRPr="00386B53" w:rsidTr="00345B4D">
        <w:tc>
          <w:tcPr>
            <w:tcW w:w="930" w:type="dxa"/>
            <w:gridSpan w:val="2"/>
          </w:tcPr>
          <w:p w:rsidR="00345B4D" w:rsidRDefault="00CB3A12" w:rsidP="00CB3A12">
            <w:pPr>
              <w:pStyle w:val="styl0"/>
              <w:spacing w:before="120"/>
            </w:pPr>
            <w:r>
              <w:t>D.3.14.</w:t>
            </w:r>
          </w:p>
        </w:tc>
        <w:tc>
          <w:tcPr>
            <w:tcW w:w="8568" w:type="dxa"/>
            <w:gridSpan w:val="3"/>
          </w:tcPr>
          <w:p w:rsidR="00345B4D" w:rsidRPr="00386B53" w:rsidRDefault="00CB3A12" w:rsidP="00CB3A12">
            <w:pPr>
              <w:pStyle w:val="styl0"/>
              <w:spacing w:before="120"/>
            </w:pPr>
            <w:r>
              <w:t>Kolejna zmiana sprzedawcy nie wymaga potwierdzenia rozwiązania umowy sprzedaży lub umowy kompleksowej przez dotychc</w:t>
            </w:r>
            <w:r w:rsidR="00C96FB7">
              <w:t>zasowego Sprzedawcę</w:t>
            </w:r>
            <w:r>
              <w:t>. Informacja od dotychczasowego Sprzedawcy o braku możliwości rozwiązania umowy sprzedaży lub umowy kompleksowej nie wstrzymuje procesu zmiany Sprzedawcy.</w:t>
            </w:r>
          </w:p>
        </w:tc>
      </w:tr>
      <w:tr w:rsidR="00345B4D" w:rsidTr="00345B4D">
        <w:tc>
          <w:tcPr>
            <w:tcW w:w="930" w:type="dxa"/>
            <w:gridSpan w:val="2"/>
          </w:tcPr>
          <w:p w:rsidR="00345B4D" w:rsidRDefault="00345B4D" w:rsidP="00CB3A12">
            <w:pPr>
              <w:pStyle w:val="styl0"/>
              <w:spacing w:before="120"/>
              <w:rPr>
                <w:b/>
              </w:rPr>
            </w:pPr>
          </w:p>
        </w:tc>
        <w:tc>
          <w:tcPr>
            <w:tcW w:w="8568" w:type="dxa"/>
            <w:gridSpan w:val="3"/>
          </w:tcPr>
          <w:p w:rsidR="00345B4D" w:rsidRDefault="00345B4D" w:rsidP="00CB3A12">
            <w:pPr>
              <w:pStyle w:val="styl0"/>
              <w:spacing w:before="120"/>
              <w:rPr>
                <w:b/>
              </w:rPr>
            </w:pPr>
          </w:p>
        </w:tc>
      </w:tr>
      <w:tr w:rsidR="00345B4D" w:rsidTr="00345B4D">
        <w:tc>
          <w:tcPr>
            <w:tcW w:w="930" w:type="dxa"/>
            <w:gridSpan w:val="2"/>
          </w:tcPr>
          <w:p w:rsidR="00345B4D" w:rsidRDefault="00345B4D" w:rsidP="00CB3A12">
            <w:pPr>
              <w:pStyle w:val="styl0"/>
              <w:spacing w:before="120"/>
            </w:pPr>
          </w:p>
        </w:tc>
        <w:tc>
          <w:tcPr>
            <w:tcW w:w="8568" w:type="dxa"/>
            <w:gridSpan w:val="3"/>
          </w:tcPr>
          <w:p w:rsidR="00345B4D" w:rsidRDefault="00345B4D" w:rsidP="00CB3A12">
            <w:pPr>
              <w:pStyle w:val="styl0"/>
              <w:spacing w:before="120"/>
              <w:ind w:left="360"/>
            </w:pPr>
          </w:p>
        </w:tc>
      </w:tr>
      <w:tr w:rsidR="00BC0CF2" w:rsidRPr="00F8567E" w:rsidTr="00345B4D">
        <w:trPr>
          <w:gridBefore w:val="1"/>
          <w:gridAfter w:val="1"/>
          <w:wBefore w:w="34" w:type="dxa"/>
          <w:wAfter w:w="253" w:type="dxa"/>
        </w:trPr>
        <w:tc>
          <w:tcPr>
            <w:tcW w:w="959" w:type="dxa"/>
            <w:gridSpan w:val="2"/>
          </w:tcPr>
          <w:p w:rsidR="00BC0CF2" w:rsidRPr="00F8567E" w:rsidRDefault="00BC0CF2" w:rsidP="00F021B9">
            <w:pPr>
              <w:pStyle w:val="styl0"/>
              <w:spacing w:before="120"/>
            </w:pPr>
          </w:p>
        </w:tc>
        <w:tc>
          <w:tcPr>
            <w:tcW w:w="8252" w:type="dxa"/>
          </w:tcPr>
          <w:p w:rsidR="00BC0CF2" w:rsidRPr="00F8567E" w:rsidRDefault="00BC0CF2" w:rsidP="00F021B9">
            <w:pPr>
              <w:pStyle w:val="styl0"/>
              <w:spacing w:before="120"/>
            </w:pPr>
          </w:p>
        </w:tc>
      </w:tr>
      <w:tr w:rsidR="00BC0CF2" w:rsidRPr="00F8567E" w:rsidTr="00345B4D">
        <w:trPr>
          <w:gridBefore w:val="1"/>
          <w:gridAfter w:val="1"/>
          <w:wBefore w:w="34" w:type="dxa"/>
          <w:wAfter w:w="253" w:type="dxa"/>
        </w:trPr>
        <w:tc>
          <w:tcPr>
            <w:tcW w:w="959" w:type="dxa"/>
            <w:gridSpan w:val="2"/>
          </w:tcPr>
          <w:p w:rsidR="00BC0CF2" w:rsidRPr="00F8567E" w:rsidRDefault="00BC0CF2" w:rsidP="00D7098B">
            <w:pPr>
              <w:pStyle w:val="styl0"/>
              <w:spacing w:before="120"/>
              <w:rPr>
                <w:b/>
              </w:rPr>
            </w:pPr>
            <w:r w:rsidRPr="00F8567E">
              <w:rPr>
                <w:b/>
              </w:rPr>
              <w:t>D.</w:t>
            </w:r>
            <w:r w:rsidR="00D7098B">
              <w:rPr>
                <w:b/>
              </w:rPr>
              <w:t>4</w:t>
            </w:r>
            <w:r w:rsidRPr="00F8567E">
              <w:rPr>
                <w:b/>
              </w:rPr>
              <w:t>.</w:t>
            </w:r>
          </w:p>
        </w:tc>
        <w:tc>
          <w:tcPr>
            <w:tcW w:w="8252" w:type="dxa"/>
          </w:tcPr>
          <w:p w:rsidR="00BC0CF2" w:rsidRPr="00F8567E" w:rsidRDefault="00BC0CF2" w:rsidP="00F021B9">
            <w:pPr>
              <w:pStyle w:val="styl0"/>
              <w:spacing w:before="120"/>
              <w:rPr>
                <w:b/>
              </w:rPr>
            </w:pPr>
            <w:r w:rsidRPr="00F8567E">
              <w:rPr>
                <w:b/>
              </w:rPr>
              <w:t xml:space="preserve">ZASADY UDZIELANIA INFORMACJI I OBSŁUGI ODBIORCÓW </w:t>
            </w:r>
          </w:p>
          <w:p w:rsidR="00BC0CF2" w:rsidRPr="00F8567E" w:rsidRDefault="00BC0CF2" w:rsidP="00F021B9">
            <w:pPr>
              <w:pStyle w:val="styl0"/>
              <w:spacing w:before="120"/>
              <w:rPr>
                <w:b/>
              </w:rPr>
            </w:pPr>
          </w:p>
        </w:tc>
      </w:tr>
      <w:tr w:rsidR="00BC0CF2" w:rsidRPr="00F8567E" w:rsidTr="00345B4D">
        <w:trPr>
          <w:gridBefore w:val="1"/>
          <w:gridAfter w:val="1"/>
          <w:wBefore w:w="34" w:type="dxa"/>
          <w:wAfter w:w="253" w:type="dxa"/>
        </w:trPr>
        <w:tc>
          <w:tcPr>
            <w:tcW w:w="959" w:type="dxa"/>
            <w:gridSpan w:val="2"/>
          </w:tcPr>
          <w:p w:rsidR="00BC0CF2" w:rsidRPr="00F8567E" w:rsidRDefault="00BC0CF2" w:rsidP="00D7098B">
            <w:pPr>
              <w:pStyle w:val="styl0"/>
              <w:spacing w:before="120"/>
            </w:pPr>
            <w:r w:rsidRPr="00F8567E">
              <w:t>D.</w:t>
            </w:r>
            <w:r w:rsidR="00D7098B">
              <w:t>4</w:t>
            </w:r>
            <w:r w:rsidRPr="00F8567E">
              <w:t>.1.</w:t>
            </w:r>
          </w:p>
        </w:tc>
        <w:tc>
          <w:tcPr>
            <w:tcW w:w="8252" w:type="dxa"/>
          </w:tcPr>
          <w:p w:rsidR="00BC0CF2" w:rsidRPr="00F8567E" w:rsidRDefault="00E45165" w:rsidP="00C96FB7">
            <w:pPr>
              <w:pStyle w:val="styl0"/>
              <w:spacing w:before="120"/>
            </w:pPr>
            <w:r>
              <w:t>OSD</w:t>
            </w:r>
            <w:r w:rsidR="00BC0CF2">
              <w:t xml:space="preserve"> </w:t>
            </w:r>
            <w:r w:rsidR="00BC0CF2" w:rsidRPr="00F8567E">
              <w:t>udziela informacji użytkownikom systemu oraz podmiotom ubiegającym się o przyłączenie do sieci nt. świadczonych usług dystrybucji oraz zasad i procedur zmiany sprzedawcy.</w:t>
            </w:r>
          </w:p>
        </w:tc>
      </w:tr>
      <w:tr w:rsidR="00BC0CF2" w:rsidRPr="00F8567E" w:rsidTr="00345B4D">
        <w:trPr>
          <w:gridBefore w:val="1"/>
          <w:gridAfter w:val="1"/>
          <w:wBefore w:w="34" w:type="dxa"/>
          <w:wAfter w:w="253" w:type="dxa"/>
        </w:trPr>
        <w:tc>
          <w:tcPr>
            <w:tcW w:w="959" w:type="dxa"/>
            <w:gridSpan w:val="2"/>
          </w:tcPr>
          <w:p w:rsidR="00BC0CF2" w:rsidRPr="00F8567E" w:rsidRDefault="00D7098B" w:rsidP="00F021B9">
            <w:pPr>
              <w:pStyle w:val="styl0"/>
              <w:spacing w:before="120"/>
            </w:pPr>
            <w:r>
              <w:t>D.4</w:t>
            </w:r>
            <w:r w:rsidR="00BC0CF2" w:rsidRPr="00F8567E">
              <w:t>.2.</w:t>
            </w:r>
          </w:p>
        </w:tc>
        <w:tc>
          <w:tcPr>
            <w:tcW w:w="8252" w:type="dxa"/>
          </w:tcPr>
          <w:p w:rsidR="00BC0CF2" w:rsidRPr="00F8567E" w:rsidRDefault="00BC0CF2" w:rsidP="00F021B9">
            <w:pPr>
              <w:pStyle w:val="styl0"/>
              <w:spacing w:before="120"/>
            </w:pPr>
            <w:r w:rsidRPr="00F8567E">
              <w:t xml:space="preserve">Informacje ogólne udostępnione są przez </w:t>
            </w:r>
            <w:r w:rsidR="00E45165">
              <w:t>OSD</w:t>
            </w:r>
            <w:r w:rsidRPr="00F8567E">
              <w:t>:</w:t>
            </w:r>
          </w:p>
          <w:p w:rsidR="00BC0CF2" w:rsidRPr="00F8567E" w:rsidRDefault="00BC0CF2" w:rsidP="009F630A">
            <w:pPr>
              <w:pStyle w:val="styl0"/>
              <w:numPr>
                <w:ilvl w:val="0"/>
                <w:numId w:val="16"/>
              </w:numPr>
              <w:spacing w:before="120"/>
            </w:pPr>
            <w:r w:rsidRPr="00F8567E">
              <w:t>na stron</w:t>
            </w:r>
            <w:r>
              <w:t>nie</w:t>
            </w:r>
            <w:r w:rsidRPr="00F8567E">
              <w:t xml:space="preserve"> internetow</w:t>
            </w:r>
            <w:r>
              <w:t>ej</w:t>
            </w:r>
            <w:r w:rsidRPr="00F8567E">
              <w:t xml:space="preserve"> </w:t>
            </w:r>
            <w:r w:rsidR="00E45165">
              <w:t>OSD</w:t>
            </w:r>
            <w:r>
              <w:t xml:space="preserve"> </w:t>
            </w:r>
            <w:hyperlink r:id="rId13" w:history="1">
              <w:r w:rsidR="00A7724B">
                <w:rPr>
                  <w:rStyle w:val="Hipercze"/>
                </w:rPr>
                <w:t>www.</w:t>
              </w:r>
              <w:r w:rsidR="009F37EA">
                <w:rPr>
                  <w:rStyle w:val="Hipercze"/>
                </w:rPr>
                <w:t>sodapolskaciech</w:t>
              </w:r>
              <w:r w:rsidR="00A7724B">
                <w:rPr>
                  <w:rStyle w:val="Hipercze"/>
                </w:rPr>
                <w:t>.pl</w:t>
              </w:r>
            </w:hyperlink>
            <w:r w:rsidRPr="00F8567E">
              <w:t xml:space="preserve">, </w:t>
            </w:r>
          </w:p>
          <w:p w:rsidR="00BC0CF2" w:rsidRPr="00F8567E" w:rsidRDefault="00BC0CF2" w:rsidP="009F630A">
            <w:pPr>
              <w:pStyle w:val="styl0"/>
              <w:numPr>
                <w:ilvl w:val="0"/>
                <w:numId w:val="16"/>
              </w:numPr>
              <w:spacing w:before="120"/>
            </w:pPr>
            <w:r w:rsidRPr="00F8567E">
              <w:t xml:space="preserve">w niniejszej </w:t>
            </w:r>
            <w:proofErr w:type="spellStart"/>
            <w:r w:rsidRPr="00F8567E">
              <w:t>IRiESD</w:t>
            </w:r>
            <w:proofErr w:type="spellEnd"/>
            <w:r w:rsidRPr="00F8567E">
              <w:t xml:space="preserve"> opublikowanej na stron</w:t>
            </w:r>
            <w:r>
              <w:t>ie</w:t>
            </w:r>
            <w:r w:rsidRPr="00F8567E">
              <w:t xml:space="preserve"> internetow</w:t>
            </w:r>
            <w:r>
              <w:t>ej</w:t>
            </w:r>
            <w:r w:rsidRPr="00F8567E">
              <w:t xml:space="preserve"> </w:t>
            </w:r>
            <w:r w:rsidR="00E45165">
              <w:t>OSD</w:t>
            </w:r>
            <w:r>
              <w:t xml:space="preserve"> </w:t>
            </w:r>
            <w:hyperlink r:id="rId14" w:history="1">
              <w:r w:rsidR="00A7724B">
                <w:rPr>
                  <w:rStyle w:val="Hipercze"/>
                </w:rPr>
                <w:t>www.</w:t>
              </w:r>
              <w:r w:rsidR="009F37EA">
                <w:rPr>
                  <w:rStyle w:val="Hipercze"/>
                </w:rPr>
                <w:t>sodapolskaciech</w:t>
              </w:r>
              <w:r w:rsidR="00A7724B">
                <w:rPr>
                  <w:rStyle w:val="Hipercze"/>
                </w:rPr>
                <w:t>.pl</w:t>
              </w:r>
            </w:hyperlink>
            <w:r w:rsidRPr="00F8567E">
              <w:t>,</w:t>
            </w:r>
          </w:p>
          <w:p w:rsidR="00BC0CF2" w:rsidRPr="00F8567E" w:rsidRDefault="00BC0CF2" w:rsidP="001C3BE5">
            <w:pPr>
              <w:pStyle w:val="styl0"/>
              <w:numPr>
                <w:ilvl w:val="0"/>
                <w:numId w:val="16"/>
              </w:numPr>
              <w:spacing w:before="120"/>
            </w:pPr>
            <w:r w:rsidRPr="00F8567E">
              <w:t xml:space="preserve">w </w:t>
            </w:r>
            <w:proofErr w:type="spellStart"/>
            <w:r w:rsidRPr="00F8567E">
              <w:t>punkt</w:t>
            </w:r>
            <w:r w:rsidR="007C2CDA">
              <w:t>cie</w:t>
            </w:r>
            <w:proofErr w:type="spellEnd"/>
            <w:r w:rsidRPr="00F8567E">
              <w:t xml:space="preserve"> obsługi klienta</w:t>
            </w:r>
            <w:r>
              <w:t xml:space="preserve"> wskazanych </w:t>
            </w:r>
            <w:r w:rsidRPr="00B70877">
              <w:t xml:space="preserve">na stronie internetowej </w:t>
            </w:r>
            <w:r w:rsidR="00E45165">
              <w:t>OSD</w:t>
            </w:r>
            <w:r w:rsidRPr="00B70877">
              <w:t xml:space="preserve"> </w:t>
            </w:r>
            <w:hyperlink r:id="rId15" w:history="1">
              <w:r w:rsidR="00A7724B">
                <w:rPr>
                  <w:rStyle w:val="Hipercze"/>
                </w:rPr>
                <w:t>www.</w:t>
              </w:r>
              <w:r w:rsidR="009F37EA">
                <w:rPr>
                  <w:rStyle w:val="Hipercze"/>
                </w:rPr>
                <w:t>sodapolskaciech</w:t>
              </w:r>
              <w:r w:rsidR="00A7724B">
                <w:rPr>
                  <w:rStyle w:val="Hipercze"/>
                </w:rPr>
                <w:t>.pl</w:t>
              </w:r>
            </w:hyperlink>
            <w:r w:rsidRPr="00F8567E">
              <w:t>.</w:t>
            </w:r>
          </w:p>
        </w:tc>
      </w:tr>
      <w:tr w:rsidR="00BC0CF2" w:rsidRPr="00F8567E" w:rsidTr="00345B4D">
        <w:trPr>
          <w:gridBefore w:val="1"/>
          <w:gridAfter w:val="1"/>
          <w:wBefore w:w="34" w:type="dxa"/>
          <w:wAfter w:w="253" w:type="dxa"/>
        </w:trPr>
        <w:tc>
          <w:tcPr>
            <w:tcW w:w="959" w:type="dxa"/>
            <w:gridSpan w:val="2"/>
          </w:tcPr>
          <w:p w:rsidR="00BC0CF2" w:rsidRPr="00F8567E" w:rsidRDefault="00D7098B" w:rsidP="00F021B9">
            <w:pPr>
              <w:pStyle w:val="styl0"/>
              <w:spacing w:before="120"/>
            </w:pPr>
            <w:r>
              <w:t>D.4</w:t>
            </w:r>
            <w:r w:rsidR="00BC0CF2" w:rsidRPr="00F8567E">
              <w:t>.3.</w:t>
            </w:r>
          </w:p>
        </w:tc>
        <w:tc>
          <w:tcPr>
            <w:tcW w:w="8252" w:type="dxa"/>
          </w:tcPr>
          <w:p w:rsidR="00BC0CF2" w:rsidRPr="00F8567E" w:rsidRDefault="00BC0CF2" w:rsidP="00F021B9">
            <w:pPr>
              <w:pStyle w:val="styl0"/>
              <w:spacing w:before="120"/>
            </w:pPr>
            <w:r w:rsidRPr="00F8567E">
              <w:t>Informacje szczegółowe udzielane są na zapytanie odbiorcy złożone następującymi drogami:</w:t>
            </w:r>
          </w:p>
          <w:p w:rsidR="00BC0CF2" w:rsidRPr="00F8567E" w:rsidRDefault="00BC0CF2" w:rsidP="009F630A">
            <w:pPr>
              <w:pStyle w:val="styl0"/>
              <w:numPr>
                <w:ilvl w:val="0"/>
                <w:numId w:val="17"/>
              </w:numPr>
              <w:tabs>
                <w:tab w:val="clear" w:pos="717"/>
                <w:tab w:val="num" w:pos="317"/>
              </w:tabs>
              <w:spacing w:before="120"/>
              <w:ind w:left="317"/>
            </w:pPr>
            <w:r w:rsidRPr="00F8567E">
              <w:lastRenderedPageBreak/>
              <w:t>osobiście w punkcie obsługi klienta</w:t>
            </w:r>
            <w:r>
              <w:t xml:space="preserve"> wskazanych </w:t>
            </w:r>
            <w:r w:rsidRPr="00B70877">
              <w:t xml:space="preserve">na stronie internetowej </w:t>
            </w:r>
            <w:r w:rsidR="00E45165">
              <w:t>OSD</w:t>
            </w:r>
            <w:r w:rsidRPr="00B70877">
              <w:t xml:space="preserve"> </w:t>
            </w:r>
            <w:hyperlink r:id="rId16" w:history="1">
              <w:r w:rsidR="00A7724B">
                <w:rPr>
                  <w:rStyle w:val="Hipercze"/>
                </w:rPr>
                <w:t>www.</w:t>
              </w:r>
              <w:r w:rsidR="009F37EA">
                <w:rPr>
                  <w:rStyle w:val="Hipercze"/>
                </w:rPr>
                <w:t>sodapolskaciech</w:t>
              </w:r>
              <w:r w:rsidR="00A7724B">
                <w:rPr>
                  <w:rStyle w:val="Hipercze"/>
                </w:rPr>
                <w:t>.pl</w:t>
              </w:r>
            </w:hyperlink>
            <w:r w:rsidRPr="00F8567E">
              <w:t>,</w:t>
            </w:r>
          </w:p>
          <w:p w:rsidR="00BC0CF2" w:rsidRPr="00F8567E" w:rsidRDefault="00BC0CF2" w:rsidP="009F630A">
            <w:pPr>
              <w:pStyle w:val="styl0"/>
              <w:numPr>
                <w:ilvl w:val="0"/>
                <w:numId w:val="17"/>
              </w:numPr>
              <w:tabs>
                <w:tab w:val="clear" w:pos="717"/>
                <w:tab w:val="num" w:pos="317"/>
              </w:tabs>
              <w:spacing w:before="120"/>
              <w:ind w:left="317"/>
            </w:pPr>
            <w:r w:rsidRPr="00F8567E">
              <w:t xml:space="preserve">listownie na adres </w:t>
            </w:r>
            <w:r w:rsidR="00E45165">
              <w:t>OSD</w:t>
            </w:r>
            <w:r>
              <w:t>,</w:t>
            </w:r>
          </w:p>
          <w:p w:rsidR="00BC0CF2" w:rsidRPr="00F8567E" w:rsidRDefault="00BC0CF2" w:rsidP="009F630A">
            <w:pPr>
              <w:pStyle w:val="styl0"/>
              <w:numPr>
                <w:ilvl w:val="0"/>
                <w:numId w:val="17"/>
              </w:numPr>
              <w:tabs>
                <w:tab w:val="clear" w:pos="717"/>
                <w:tab w:val="num" w:pos="317"/>
              </w:tabs>
              <w:spacing w:before="120"/>
              <w:ind w:left="317"/>
            </w:pPr>
            <w:r w:rsidRPr="00F8567E">
              <w:t>pocztą elektroniczną,</w:t>
            </w:r>
          </w:p>
          <w:p w:rsidR="00BC0CF2" w:rsidRDefault="00BC0CF2" w:rsidP="009F630A">
            <w:pPr>
              <w:pStyle w:val="styl0"/>
              <w:numPr>
                <w:ilvl w:val="0"/>
                <w:numId w:val="17"/>
              </w:numPr>
              <w:tabs>
                <w:tab w:val="clear" w:pos="717"/>
                <w:tab w:val="num" w:pos="317"/>
              </w:tabs>
              <w:spacing w:before="120"/>
              <w:ind w:left="317"/>
            </w:pPr>
            <w:r w:rsidRPr="00F8567E">
              <w:t>faksem,</w:t>
            </w:r>
          </w:p>
          <w:p w:rsidR="00BC0CF2" w:rsidRPr="00F8567E" w:rsidRDefault="00BC0CF2" w:rsidP="009F630A">
            <w:pPr>
              <w:pStyle w:val="styl0"/>
              <w:numPr>
                <w:ilvl w:val="0"/>
                <w:numId w:val="17"/>
              </w:numPr>
              <w:tabs>
                <w:tab w:val="clear" w:pos="717"/>
                <w:tab w:val="num" w:pos="317"/>
              </w:tabs>
              <w:spacing w:before="120"/>
              <w:ind w:left="317"/>
            </w:pPr>
            <w:r w:rsidRPr="00F8567E">
              <w:t>telefonicznie.</w:t>
            </w:r>
          </w:p>
          <w:p w:rsidR="00BC0CF2" w:rsidRPr="00F8567E" w:rsidRDefault="00BC0CF2" w:rsidP="001C3BE5">
            <w:pPr>
              <w:pStyle w:val="styl0"/>
              <w:spacing w:before="120"/>
              <w:ind w:left="-43"/>
            </w:pPr>
            <w:r w:rsidRPr="00F8567E">
              <w:t>Adresy email, numery faksu oraz telefonów</w:t>
            </w:r>
            <w:r>
              <w:t>,</w:t>
            </w:r>
            <w:r w:rsidRPr="00F8567E">
              <w:t xml:space="preserve"> o których mowa powyżej</w:t>
            </w:r>
            <w:r>
              <w:t>,</w:t>
            </w:r>
            <w:r w:rsidRPr="00F8567E">
              <w:t xml:space="preserve"> zamieszczone są na stronie internetowej </w:t>
            </w:r>
            <w:r w:rsidR="00E45165">
              <w:t>OSD</w:t>
            </w:r>
            <w:r>
              <w:t xml:space="preserve"> </w:t>
            </w:r>
            <w:hyperlink r:id="rId17" w:history="1">
              <w:r w:rsidR="00A7724B">
                <w:rPr>
                  <w:rStyle w:val="Hipercze"/>
                </w:rPr>
                <w:t>www.</w:t>
              </w:r>
              <w:r w:rsidR="009F37EA">
                <w:rPr>
                  <w:rStyle w:val="Hipercze"/>
                </w:rPr>
                <w:t>sodapolskaciech</w:t>
              </w:r>
              <w:r w:rsidR="00A7724B">
                <w:rPr>
                  <w:rStyle w:val="Hipercze"/>
                </w:rPr>
                <w:t>.pl</w:t>
              </w:r>
            </w:hyperlink>
            <w:r w:rsidRPr="00F8567E">
              <w:t>.</w:t>
            </w:r>
          </w:p>
        </w:tc>
      </w:tr>
      <w:tr w:rsidR="00BC0CF2" w:rsidRPr="00F8567E" w:rsidTr="00345B4D">
        <w:trPr>
          <w:gridBefore w:val="1"/>
          <w:gridAfter w:val="1"/>
          <w:wBefore w:w="34" w:type="dxa"/>
          <w:wAfter w:w="253" w:type="dxa"/>
        </w:trPr>
        <w:tc>
          <w:tcPr>
            <w:tcW w:w="959" w:type="dxa"/>
            <w:gridSpan w:val="2"/>
          </w:tcPr>
          <w:p w:rsidR="00BC0CF2" w:rsidRPr="00F8567E" w:rsidRDefault="00D7098B" w:rsidP="00F021B9">
            <w:pPr>
              <w:pStyle w:val="styl0"/>
              <w:spacing w:before="120"/>
            </w:pPr>
            <w:r>
              <w:lastRenderedPageBreak/>
              <w:t>D.4</w:t>
            </w:r>
            <w:r w:rsidR="00BC0CF2" w:rsidRPr="00F8567E">
              <w:t>.4.</w:t>
            </w:r>
          </w:p>
        </w:tc>
        <w:tc>
          <w:tcPr>
            <w:tcW w:w="8252" w:type="dxa"/>
          </w:tcPr>
          <w:p w:rsidR="00BC0CF2" w:rsidRPr="00F8567E" w:rsidRDefault="00E45165" w:rsidP="00F021B9">
            <w:pPr>
              <w:pStyle w:val="styl0"/>
              <w:spacing w:before="120"/>
            </w:pPr>
            <w:r>
              <w:t>OSD</w:t>
            </w:r>
            <w:r w:rsidR="00BC0CF2">
              <w:t xml:space="preserve"> </w:t>
            </w:r>
            <w:r w:rsidR="00BC0CF2" w:rsidRPr="00F8567E">
              <w:t>informuje odbiorców o warunkach zmiany sprzedawcy, a w szczególności o:</w:t>
            </w:r>
          </w:p>
          <w:p w:rsidR="00BC0CF2" w:rsidRPr="00F8567E" w:rsidRDefault="00BC0CF2" w:rsidP="009F630A">
            <w:pPr>
              <w:pStyle w:val="styl0"/>
              <w:numPr>
                <w:ilvl w:val="0"/>
                <w:numId w:val="5"/>
              </w:numPr>
              <w:spacing w:before="120"/>
            </w:pPr>
            <w:r w:rsidRPr="00F8567E">
              <w:t>uwarunkowaniach formalno-prawnych,</w:t>
            </w:r>
          </w:p>
          <w:p w:rsidR="00BC0CF2" w:rsidRPr="00F8567E" w:rsidRDefault="00BC0CF2" w:rsidP="009F630A">
            <w:pPr>
              <w:pStyle w:val="styl0"/>
              <w:numPr>
                <w:ilvl w:val="0"/>
                <w:numId w:val="5"/>
              </w:numPr>
              <w:spacing w:before="120"/>
            </w:pPr>
            <w:r w:rsidRPr="00F8567E">
              <w:t>ogólnych zasadach funkcjonowania rynku bilansującego,</w:t>
            </w:r>
          </w:p>
          <w:p w:rsidR="00BC0CF2" w:rsidRPr="00F8567E" w:rsidRDefault="00BC0CF2" w:rsidP="009F630A">
            <w:pPr>
              <w:pStyle w:val="styl0"/>
              <w:numPr>
                <w:ilvl w:val="0"/>
                <w:numId w:val="5"/>
              </w:numPr>
              <w:spacing w:before="120"/>
            </w:pPr>
            <w:r w:rsidRPr="00F8567E">
              <w:t>procedurze zmiany sprzedawcy,</w:t>
            </w:r>
          </w:p>
          <w:p w:rsidR="00BC0CF2" w:rsidRPr="00F8567E" w:rsidRDefault="00BC0CF2" w:rsidP="009F630A">
            <w:pPr>
              <w:pStyle w:val="styl0"/>
              <w:numPr>
                <w:ilvl w:val="0"/>
                <w:numId w:val="5"/>
              </w:numPr>
              <w:spacing w:before="120"/>
            </w:pPr>
            <w:r w:rsidRPr="00F8567E">
              <w:t>wymaganych umowach,</w:t>
            </w:r>
          </w:p>
          <w:p w:rsidR="00BC0CF2" w:rsidRPr="00F8567E" w:rsidRDefault="00BC0CF2" w:rsidP="009F630A">
            <w:pPr>
              <w:pStyle w:val="styl0"/>
              <w:numPr>
                <w:ilvl w:val="0"/>
                <w:numId w:val="5"/>
              </w:numPr>
              <w:spacing w:before="120"/>
            </w:pPr>
            <w:r w:rsidRPr="00F8567E">
              <w:t>prawach i obowiązkach podmiotów korzystających z prawa wyboru sprzedawcy,</w:t>
            </w:r>
          </w:p>
          <w:p w:rsidR="00BC0CF2" w:rsidRPr="00F8567E" w:rsidRDefault="00BC0CF2" w:rsidP="009F630A">
            <w:pPr>
              <w:pStyle w:val="styl0"/>
              <w:numPr>
                <w:ilvl w:val="0"/>
                <w:numId w:val="5"/>
              </w:numPr>
              <w:spacing w:before="120"/>
            </w:pPr>
            <w:r w:rsidRPr="00F8567E">
              <w:t>procedurach powiadamiania o zawartych umowach sprzedaży energii elektrycznej oraz weryfikacji powiadomień,</w:t>
            </w:r>
          </w:p>
          <w:p w:rsidR="00BC0CF2" w:rsidRPr="00F8567E" w:rsidRDefault="00BC0CF2" w:rsidP="009F630A">
            <w:pPr>
              <w:pStyle w:val="styl0"/>
              <w:numPr>
                <w:ilvl w:val="0"/>
                <w:numId w:val="5"/>
              </w:numPr>
              <w:spacing w:before="120"/>
            </w:pPr>
            <w:r w:rsidRPr="00F8567E">
              <w:t>zasadach ustanawiania i zmiany podmiotów odpowiedzialnych za bilansowanie handlowe,</w:t>
            </w:r>
          </w:p>
          <w:p w:rsidR="00BC0CF2" w:rsidRPr="00F8567E" w:rsidRDefault="00BC0CF2" w:rsidP="009F630A">
            <w:pPr>
              <w:pStyle w:val="styl0"/>
              <w:numPr>
                <w:ilvl w:val="0"/>
                <w:numId w:val="5"/>
              </w:numPr>
              <w:spacing w:before="120"/>
            </w:pPr>
            <w:r w:rsidRPr="00F8567E">
              <w:t>warunkach świadczenia usług dystrybucyjnych.</w:t>
            </w:r>
          </w:p>
        </w:tc>
      </w:tr>
    </w:tbl>
    <w:p w:rsidR="00BC0CF2" w:rsidRPr="00F8567E" w:rsidRDefault="00BC0CF2" w:rsidP="00BC0CF2">
      <w:pPr>
        <w:pStyle w:val="Nagwek1"/>
        <w:tabs>
          <w:tab w:val="left" w:pos="567"/>
        </w:tabs>
        <w:ind w:left="567" w:hanging="567"/>
      </w:pPr>
      <w:r w:rsidRPr="00F8567E">
        <w:br w:type="page"/>
      </w:r>
      <w:bookmarkStart w:id="13" w:name="_Toc375295764"/>
      <w:bookmarkStart w:id="14" w:name="_Toc106443304"/>
      <w:bookmarkStart w:id="15" w:name="_Toc106525957"/>
      <w:bookmarkStart w:id="16" w:name="_Toc106443322"/>
      <w:bookmarkStart w:id="17" w:name="_Toc106525975"/>
      <w:r w:rsidRPr="00F8567E">
        <w:lastRenderedPageBreak/>
        <w:t>E</w:t>
      </w:r>
      <w:r w:rsidRPr="00F8567E">
        <w:tab/>
        <w:t>ZASADY BILANSOWANIA HANDLOWEGO W OBSZARZE RYNKU DETALICZNEGO</w:t>
      </w:r>
      <w:bookmarkEnd w:id="13"/>
    </w:p>
    <w:p w:rsidR="00BC0CF2" w:rsidRPr="00F8567E" w:rsidRDefault="00BC0CF2" w:rsidP="00BC0CF2">
      <w:pPr>
        <w:spacing w:before="0"/>
      </w:pPr>
    </w:p>
    <w:p w:rsidR="00BC0CF2" w:rsidRPr="00F8567E" w:rsidRDefault="00BC0CF2" w:rsidP="00BC0CF2">
      <w:pPr>
        <w:spacing w:before="0"/>
      </w:pPr>
    </w:p>
    <w:tbl>
      <w:tblPr>
        <w:tblW w:w="0" w:type="auto"/>
        <w:tblInd w:w="-34" w:type="dxa"/>
        <w:tblLook w:val="01E0" w:firstRow="1" w:lastRow="1" w:firstColumn="1" w:lastColumn="1" w:noHBand="0" w:noVBand="0"/>
      </w:tblPr>
      <w:tblGrid>
        <w:gridCol w:w="1135"/>
        <w:gridCol w:w="8186"/>
      </w:tblGrid>
      <w:tr w:rsidR="00BC0CF2" w:rsidRPr="00F8567E" w:rsidTr="00F021B9">
        <w:trPr>
          <w:trHeight w:val="3560"/>
        </w:trPr>
        <w:tc>
          <w:tcPr>
            <w:tcW w:w="1135" w:type="dxa"/>
          </w:tcPr>
          <w:p w:rsidR="00BC0CF2" w:rsidRPr="00F8567E" w:rsidRDefault="00BC0CF2" w:rsidP="00F021B9">
            <w:pPr>
              <w:tabs>
                <w:tab w:val="clear" w:pos="4536"/>
                <w:tab w:val="clear" w:pos="9072"/>
              </w:tabs>
              <w:ind w:firstLine="0"/>
            </w:pPr>
            <w:r w:rsidRPr="00F8567E">
              <w:rPr>
                <w:color w:val="auto"/>
              </w:rPr>
              <w:t>E.1.</w:t>
            </w:r>
          </w:p>
        </w:tc>
        <w:tc>
          <w:tcPr>
            <w:tcW w:w="8186" w:type="dxa"/>
          </w:tcPr>
          <w:p w:rsidR="00BC0CF2" w:rsidRPr="00F8567E" w:rsidRDefault="00BC0CF2" w:rsidP="00F021B9">
            <w:pPr>
              <w:tabs>
                <w:tab w:val="clear" w:pos="4536"/>
                <w:tab w:val="clear" w:pos="9072"/>
              </w:tabs>
              <w:ind w:firstLine="0"/>
              <w:rPr>
                <w:color w:val="auto"/>
              </w:rPr>
            </w:pPr>
            <w:r w:rsidRPr="00F8567E">
              <w:rPr>
                <w:color w:val="auto"/>
              </w:rPr>
              <w:t xml:space="preserve">Procedura ustanawiania i zmiany podmiotu odpowiedzialnego za bilansowanie handlowe (POB) przebiega zgodnie z zapisami </w:t>
            </w:r>
            <w:proofErr w:type="spellStart"/>
            <w:r w:rsidRPr="00F8567E">
              <w:rPr>
                <w:color w:val="auto"/>
              </w:rPr>
              <w:t>IRiESD</w:t>
            </w:r>
            <w:proofErr w:type="spellEnd"/>
            <w:r w:rsidRPr="00F8567E">
              <w:rPr>
                <w:color w:val="auto"/>
              </w:rPr>
              <w:t>-Bilansowanie</w:t>
            </w:r>
            <w:r>
              <w:rPr>
                <w:color w:val="auto"/>
              </w:rPr>
              <w:t xml:space="preserve"> </w:t>
            </w:r>
            <w:r w:rsidR="00E45165">
              <w:rPr>
                <w:color w:val="auto"/>
              </w:rPr>
              <w:t>OSD</w:t>
            </w:r>
            <w:r>
              <w:rPr>
                <w:color w:val="auto"/>
              </w:rPr>
              <w:t xml:space="preserve">, </w:t>
            </w:r>
            <w:proofErr w:type="spellStart"/>
            <w:r>
              <w:rPr>
                <w:color w:val="auto"/>
              </w:rPr>
              <w:t>IRiESD-Bilasowanie</w:t>
            </w:r>
            <w:proofErr w:type="spellEnd"/>
            <w:r>
              <w:rPr>
                <w:color w:val="auto"/>
              </w:rPr>
              <w:t xml:space="preserve"> OP-</w:t>
            </w:r>
            <w:proofErr w:type="spellStart"/>
            <w:r>
              <w:rPr>
                <w:color w:val="auto"/>
              </w:rPr>
              <w:t>OSDp</w:t>
            </w:r>
            <w:proofErr w:type="spellEnd"/>
            <w:r w:rsidRPr="00F8567E">
              <w:rPr>
                <w:color w:val="auto"/>
              </w:rPr>
              <w:t xml:space="preserve"> oraz </w:t>
            </w:r>
            <w:proofErr w:type="spellStart"/>
            <w:r w:rsidRPr="00F8567E">
              <w:rPr>
                <w:color w:val="auto"/>
              </w:rPr>
              <w:t>IRiESP</w:t>
            </w:r>
            <w:proofErr w:type="spellEnd"/>
            <w:r w:rsidRPr="00F8567E">
              <w:rPr>
                <w:color w:val="auto"/>
              </w:rPr>
              <w:t>-Bilansowanie.</w:t>
            </w:r>
          </w:p>
          <w:p w:rsidR="00BC0CF2" w:rsidRPr="00F8567E" w:rsidRDefault="00BC0CF2" w:rsidP="00F021B9">
            <w:pPr>
              <w:tabs>
                <w:tab w:val="clear" w:pos="4536"/>
                <w:tab w:val="clear" w:pos="9072"/>
              </w:tabs>
              <w:ind w:firstLine="0"/>
              <w:rPr>
                <w:color w:val="auto"/>
              </w:rPr>
            </w:pPr>
            <w:r w:rsidRPr="00F8567E">
              <w:rPr>
                <w:color w:val="auto"/>
              </w:rPr>
              <w:t>POB jest ustanawiany przez:</w:t>
            </w:r>
          </w:p>
          <w:p w:rsidR="00BC0CF2" w:rsidRPr="00F8567E" w:rsidRDefault="00BC0CF2" w:rsidP="009F630A">
            <w:pPr>
              <w:numPr>
                <w:ilvl w:val="0"/>
                <w:numId w:val="19"/>
              </w:numPr>
              <w:tabs>
                <w:tab w:val="clear" w:pos="909"/>
                <w:tab w:val="clear" w:pos="4536"/>
                <w:tab w:val="clear" w:pos="9072"/>
                <w:tab w:val="left" w:pos="317"/>
              </w:tabs>
              <w:ind w:left="317" w:hanging="317"/>
              <w:rPr>
                <w:color w:val="auto"/>
              </w:rPr>
            </w:pPr>
            <w:r w:rsidRPr="00F8567E">
              <w:rPr>
                <w:color w:val="auto"/>
              </w:rPr>
              <w:t>Sprzedawcę, który zamierza sprzedawać energię elektryczną URD typu odbiorca (URD</w:t>
            </w:r>
            <w:r w:rsidRPr="00F8567E">
              <w:rPr>
                <w:color w:val="auto"/>
                <w:vertAlign w:val="subscript"/>
              </w:rPr>
              <w:t>O</w:t>
            </w:r>
            <w:r w:rsidRPr="00F8567E">
              <w:rPr>
                <w:color w:val="auto"/>
              </w:rPr>
              <w:t xml:space="preserve">), przyłączonemu do sieci dystrybucyjnej </w:t>
            </w:r>
            <w:r w:rsidR="00E45165">
              <w:t>OSD</w:t>
            </w:r>
            <w:r>
              <w:t>,</w:t>
            </w:r>
          </w:p>
          <w:p w:rsidR="00BC0CF2" w:rsidRPr="00F8567E" w:rsidRDefault="00BC0CF2" w:rsidP="009F630A">
            <w:pPr>
              <w:numPr>
                <w:ilvl w:val="0"/>
                <w:numId w:val="19"/>
              </w:numPr>
              <w:tabs>
                <w:tab w:val="clear" w:pos="909"/>
                <w:tab w:val="clear" w:pos="4536"/>
                <w:tab w:val="clear" w:pos="9072"/>
                <w:tab w:val="left" w:pos="317"/>
              </w:tabs>
              <w:ind w:left="317" w:hanging="317"/>
              <w:rPr>
                <w:color w:val="auto"/>
              </w:rPr>
            </w:pPr>
            <w:r w:rsidRPr="00F8567E">
              <w:rPr>
                <w:color w:val="auto"/>
              </w:rPr>
              <w:t>URD typu wytwórca (URD</w:t>
            </w:r>
            <w:r w:rsidRPr="00F8567E">
              <w:rPr>
                <w:color w:val="auto"/>
                <w:vertAlign w:val="subscript"/>
              </w:rPr>
              <w:t>W</w:t>
            </w:r>
            <w:r w:rsidRPr="00F8567E">
              <w:rPr>
                <w:color w:val="auto"/>
              </w:rPr>
              <w:t xml:space="preserve">), przyłączonego do sieci dystrybucyjnej </w:t>
            </w:r>
            <w:r w:rsidR="00E45165">
              <w:t>OSD</w:t>
            </w:r>
            <w:r w:rsidRPr="00F8567E">
              <w:rPr>
                <w:color w:val="auto"/>
              </w:rPr>
              <w:t>.</w:t>
            </w:r>
          </w:p>
          <w:p w:rsidR="00BC0CF2" w:rsidRPr="00F8567E" w:rsidRDefault="00BC0CF2" w:rsidP="00F021B9">
            <w:pPr>
              <w:tabs>
                <w:tab w:val="clear" w:pos="4536"/>
                <w:tab w:val="clear" w:pos="9072"/>
              </w:tabs>
              <w:ind w:firstLine="0"/>
              <w:rPr>
                <w:color w:val="auto"/>
              </w:rPr>
            </w:pPr>
            <w:r w:rsidRPr="00F8567E">
              <w:rPr>
                <w:color w:val="auto"/>
              </w:rPr>
              <w:t>URD</w:t>
            </w:r>
            <w:r w:rsidRPr="00F8567E">
              <w:rPr>
                <w:color w:val="auto"/>
                <w:vertAlign w:val="subscript"/>
              </w:rPr>
              <w:t>O</w:t>
            </w:r>
            <w:r w:rsidRPr="00F8567E">
              <w:rPr>
                <w:color w:val="auto"/>
              </w:rPr>
              <w:t xml:space="preserve"> wskazuje w umowie dystrybucyjnej zawartej z </w:t>
            </w:r>
            <w:r w:rsidR="00E45165">
              <w:t>OSD</w:t>
            </w:r>
            <w:r w:rsidRPr="00F8567E">
              <w:rPr>
                <w:color w:val="auto"/>
              </w:rPr>
              <w:t xml:space="preserve"> ustanowionego przez sprzedawcę POB, który będzie bilansował handlowo </w:t>
            </w:r>
            <w:r>
              <w:rPr>
                <w:color w:val="auto"/>
              </w:rPr>
              <w:t>punkty poboru energii (PPE)</w:t>
            </w:r>
            <w:r w:rsidRPr="00F8567E">
              <w:rPr>
                <w:color w:val="auto"/>
              </w:rPr>
              <w:t xml:space="preserve"> tego URD</w:t>
            </w:r>
            <w:r w:rsidRPr="00F8567E">
              <w:rPr>
                <w:color w:val="auto"/>
                <w:vertAlign w:val="subscript"/>
              </w:rPr>
              <w:t>O</w:t>
            </w:r>
            <w:r w:rsidRPr="00F8567E">
              <w:rPr>
                <w:color w:val="auto"/>
              </w:rPr>
              <w:t>.</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t>E.2.</w:t>
            </w:r>
          </w:p>
        </w:tc>
        <w:tc>
          <w:tcPr>
            <w:tcW w:w="8186" w:type="dxa"/>
          </w:tcPr>
          <w:p w:rsidR="00BC0CF2" w:rsidRPr="00F8567E" w:rsidRDefault="00BC0CF2" w:rsidP="00F021B9">
            <w:pPr>
              <w:tabs>
                <w:tab w:val="clear" w:pos="4536"/>
                <w:tab w:val="clear" w:pos="9072"/>
              </w:tabs>
              <w:ind w:firstLine="0"/>
              <w:rPr>
                <w:color w:val="auto"/>
              </w:rPr>
            </w:pPr>
            <w:r w:rsidRPr="00F8567E">
              <w:rPr>
                <w:color w:val="auto"/>
              </w:rPr>
              <w:t xml:space="preserve">Proces </w:t>
            </w:r>
            <w:r>
              <w:rPr>
                <w:color w:val="auto"/>
              </w:rPr>
              <w:t>zmiany</w:t>
            </w:r>
            <w:r w:rsidRPr="00F8567E">
              <w:rPr>
                <w:color w:val="auto"/>
              </w:rPr>
              <w:t xml:space="preserve"> POB odpowiedzialn</w:t>
            </w:r>
            <w:r>
              <w:rPr>
                <w:color w:val="auto"/>
              </w:rPr>
              <w:t>ego</w:t>
            </w:r>
            <w:r w:rsidRPr="00F8567E">
              <w:rPr>
                <w:color w:val="auto"/>
              </w:rPr>
              <w:t xml:space="preserve"> za bilansowanie handlowe sprzedawcy lub URD</w:t>
            </w:r>
            <w:r w:rsidRPr="00F8567E">
              <w:rPr>
                <w:color w:val="auto"/>
                <w:vertAlign w:val="subscript"/>
              </w:rPr>
              <w:t>W</w:t>
            </w:r>
            <w:r w:rsidRPr="00F8567E">
              <w:rPr>
                <w:color w:val="auto"/>
              </w:rPr>
              <w:t>, jest realizowany według następującej procedury:</w:t>
            </w:r>
          </w:p>
          <w:p w:rsidR="00BC0CF2" w:rsidRPr="00F8567E" w:rsidRDefault="00BC0CF2" w:rsidP="009F630A">
            <w:pPr>
              <w:numPr>
                <w:ilvl w:val="0"/>
                <w:numId w:val="20"/>
              </w:numPr>
              <w:tabs>
                <w:tab w:val="clear" w:pos="717"/>
                <w:tab w:val="clear" w:pos="4536"/>
                <w:tab w:val="clear" w:pos="9072"/>
                <w:tab w:val="num" w:pos="459"/>
              </w:tabs>
              <w:ind w:left="459" w:hanging="426"/>
              <w:rPr>
                <w:color w:val="auto"/>
                <w:szCs w:val="24"/>
              </w:rPr>
            </w:pPr>
            <w:r w:rsidRPr="00F8567E">
              <w:rPr>
                <w:color w:val="auto"/>
              </w:rPr>
              <w:t>Sprzedawca lub URD</w:t>
            </w:r>
            <w:r w:rsidRPr="00F8567E">
              <w:rPr>
                <w:color w:val="auto"/>
                <w:vertAlign w:val="subscript"/>
              </w:rPr>
              <w:t>W</w:t>
            </w:r>
            <w:r w:rsidRPr="00F8567E">
              <w:rPr>
                <w:color w:val="auto"/>
                <w:szCs w:val="24"/>
              </w:rPr>
              <w:t xml:space="preserve"> powiadamia </w:t>
            </w:r>
            <w:r w:rsidR="00E45165">
              <w:t>OSD</w:t>
            </w:r>
            <w:r w:rsidRPr="00F8567E">
              <w:rPr>
                <w:color w:val="auto"/>
                <w:szCs w:val="24"/>
              </w:rPr>
              <w:t xml:space="preserve">, na formularzu zgodnym ze wzorem zawartym na stronie internetowej </w:t>
            </w:r>
            <w:r w:rsidR="00E45165">
              <w:t>OSD</w:t>
            </w:r>
            <w:r>
              <w:rPr>
                <w:color w:val="auto"/>
                <w:szCs w:val="24"/>
              </w:rPr>
              <w:t xml:space="preserve"> </w:t>
            </w:r>
            <w:r w:rsidRPr="00F8567E">
              <w:rPr>
                <w:color w:val="auto"/>
                <w:szCs w:val="24"/>
              </w:rPr>
              <w:t>lub w umowie dystrybucj</w:t>
            </w:r>
            <w:r>
              <w:rPr>
                <w:color w:val="auto"/>
                <w:szCs w:val="24"/>
              </w:rPr>
              <w:t>i</w:t>
            </w:r>
            <w:r w:rsidRPr="00F8567E">
              <w:rPr>
                <w:color w:val="auto"/>
                <w:szCs w:val="24"/>
              </w:rPr>
              <w:t>, o planowanym przejęciu odpowiedzialności za bilansowanie handlowe tego sprzedawcy lub URD</w:t>
            </w:r>
            <w:r w:rsidRPr="00F8567E">
              <w:rPr>
                <w:color w:val="auto"/>
                <w:szCs w:val="24"/>
                <w:vertAlign w:val="subscript"/>
              </w:rPr>
              <w:t>W</w:t>
            </w:r>
            <w:r w:rsidRPr="00F8567E">
              <w:rPr>
                <w:color w:val="auto"/>
                <w:szCs w:val="24"/>
              </w:rPr>
              <w:t xml:space="preserve"> przez nowego POB; formularz ten powinien zostać podpisany zarówno przez nowego POB jak i </w:t>
            </w:r>
            <w:r w:rsidRPr="00F8567E">
              <w:rPr>
                <w:color w:val="auto"/>
              </w:rPr>
              <w:t>sprzedawcę lub URD</w:t>
            </w:r>
            <w:r w:rsidRPr="00F8567E">
              <w:rPr>
                <w:color w:val="auto"/>
                <w:vertAlign w:val="subscript"/>
              </w:rPr>
              <w:t>W</w:t>
            </w:r>
            <w:r w:rsidRPr="00F8567E">
              <w:rPr>
                <w:color w:val="auto"/>
              </w:rPr>
              <w:t>;</w:t>
            </w:r>
          </w:p>
          <w:p w:rsidR="00BC0CF2" w:rsidRPr="00F8567E" w:rsidRDefault="00E45165" w:rsidP="009F630A">
            <w:pPr>
              <w:numPr>
                <w:ilvl w:val="0"/>
                <w:numId w:val="20"/>
              </w:numPr>
              <w:tabs>
                <w:tab w:val="clear" w:pos="717"/>
                <w:tab w:val="clear" w:pos="4536"/>
                <w:tab w:val="clear" w:pos="9072"/>
                <w:tab w:val="num" w:pos="459"/>
              </w:tabs>
              <w:ind w:left="459" w:hanging="426"/>
              <w:rPr>
                <w:color w:val="auto"/>
                <w:szCs w:val="24"/>
              </w:rPr>
            </w:pPr>
            <w:r>
              <w:t>OSD</w:t>
            </w:r>
            <w:r w:rsidR="00BC0CF2">
              <w:rPr>
                <w:color w:val="auto"/>
              </w:rPr>
              <w:t xml:space="preserve"> </w:t>
            </w:r>
            <w:r w:rsidR="00BC0CF2" w:rsidRPr="00F8567E">
              <w:rPr>
                <w:color w:val="auto"/>
              </w:rPr>
              <w:t xml:space="preserve">dokonuje weryfikacji poprawności wypełnienia powiadomienia w ciągu </w:t>
            </w:r>
            <w:r w:rsidR="00BC0CF2">
              <w:rPr>
                <w:color w:val="auto"/>
              </w:rPr>
              <w:t>10</w:t>
            </w:r>
            <w:r w:rsidR="00BC0CF2" w:rsidRPr="00F8567E">
              <w:rPr>
                <w:color w:val="auto"/>
              </w:rPr>
              <w:t xml:space="preserve"> dni po jego otrzymaniu, pod względem poprawności i zgodności z zawartymi umowami dystrybucyjnymi</w:t>
            </w:r>
            <w:r w:rsidR="00BC0CF2">
              <w:rPr>
                <w:color w:val="auto"/>
              </w:rPr>
              <w:t>, w tym również zawartymi umowami przez sprzedawcę i nowego POB z OP-</w:t>
            </w:r>
            <w:proofErr w:type="spellStart"/>
            <w:r w:rsidR="00BC0CF2">
              <w:rPr>
                <w:color w:val="auto"/>
              </w:rPr>
              <w:t>OSDp</w:t>
            </w:r>
            <w:proofErr w:type="spellEnd"/>
            <w:r w:rsidR="00BC0CF2" w:rsidRPr="00F8567E">
              <w:rPr>
                <w:color w:val="auto"/>
              </w:rPr>
              <w:t>;</w:t>
            </w:r>
          </w:p>
          <w:p w:rsidR="00BC0CF2" w:rsidRPr="00F8567E" w:rsidRDefault="00E45165" w:rsidP="009F630A">
            <w:pPr>
              <w:numPr>
                <w:ilvl w:val="0"/>
                <w:numId w:val="20"/>
              </w:numPr>
              <w:tabs>
                <w:tab w:val="clear" w:pos="717"/>
                <w:tab w:val="clear" w:pos="4536"/>
                <w:tab w:val="clear" w:pos="9072"/>
                <w:tab w:val="num" w:pos="459"/>
              </w:tabs>
              <w:ind w:left="459" w:hanging="426"/>
              <w:rPr>
                <w:color w:val="auto"/>
              </w:rPr>
            </w:pPr>
            <w:r>
              <w:t>OSD</w:t>
            </w:r>
            <w:r w:rsidR="00BC0CF2" w:rsidRPr="00F8567E">
              <w:rPr>
                <w:color w:val="auto"/>
              </w:rPr>
              <w:t>, w przypadku pozytywnej weryfikacji:</w:t>
            </w:r>
          </w:p>
          <w:p w:rsidR="00BC0CF2" w:rsidRPr="00F8567E" w:rsidRDefault="00BC0CF2" w:rsidP="009F630A">
            <w:pPr>
              <w:numPr>
                <w:ilvl w:val="0"/>
                <w:numId w:val="21"/>
              </w:numPr>
              <w:tabs>
                <w:tab w:val="clear" w:pos="4536"/>
                <w:tab w:val="clear" w:pos="9072"/>
                <w:tab w:val="num" w:pos="1167"/>
              </w:tabs>
              <w:ind w:left="1167" w:hanging="141"/>
              <w:rPr>
                <w:color w:val="auto"/>
              </w:rPr>
            </w:pPr>
            <w:r w:rsidRPr="00F8567E">
              <w:rPr>
                <w:color w:val="auto"/>
              </w:rPr>
              <w:t>informuje dotychczasowego POB o dacie, w której przestaje pełnić funkcję POB oraz dokonuje aktualizacji stosownych postanowień umowy dystrybucj</w:t>
            </w:r>
            <w:r>
              <w:rPr>
                <w:color w:val="auto"/>
              </w:rPr>
              <w:t>i</w:t>
            </w:r>
            <w:r w:rsidRPr="00F8567E">
              <w:rPr>
                <w:color w:val="auto"/>
              </w:rPr>
              <w:t xml:space="preserve"> z tym POB,</w:t>
            </w:r>
          </w:p>
          <w:p w:rsidR="00BC0CF2" w:rsidRPr="00F8567E" w:rsidRDefault="00BC0CF2" w:rsidP="009F630A">
            <w:pPr>
              <w:numPr>
                <w:ilvl w:val="0"/>
                <w:numId w:val="21"/>
              </w:numPr>
              <w:tabs>
                <w:tab w:val="clear" w:pos="4536"/>
                <w:tab w:val="clear" w:pos="9072"/>
                <w:tab w:val="num" w:pos="1167"/>
              </w:tabs>
              <w:ind w:left="1167" w:hanging="141"/>
              <w:rPr>
                <w:color w:val="auto"/>
              </w:rPr>
            </w:pPr>
            <w:r w:rsidRPr="00F8567E">
              <w:rPr>
                <w:color w:val="auto"/>
              </w:rPr>
              <w:t>informuje sprzedawcę lub URD</w:t>
            </w:r>
            <w:r w:rsidRPr="00F8567E">
              <w:rPr>
                <w:color w:val="auto"/>
                <w:vertAlign w:val="subscript"/>
              </w:rPr>
              <w:t>W</w:t>
            </w:r>
            <w:r w:rsidRPr="00F8567E">
              <w:rPr>
                <w:color w:val="auto"/>
              </w:rPr>
              <w:t xml:space="preserve"> oraz nowego POB o dacie, w której następuje zmiana POB,</w:t>
            </w:r>
          </w:p>
          <w:p w:rsidR="00BC0CF2" w:rsidRPr="00F8567E" w:rsidRDefault="00BC0CF2" w:rsidP="009F630A">
            <w:pPr>
              <w:numPr>
                <w:ilvl w:val="0"/>
                <w:numId w:val="21"/>
              </w:numPr>
              <w:tabs>
                <w:tab w:val="clear" w:pos="4536"/>
                <w:tab w:val="clear" w:pos="9072"/>
                <w:tab w:val="num" w:pos="1167"/>
              </w:tabs>
              <w:ind w:left="1167" w:hanging="141"/>
              <w:rPr>
                <w:color w:val="auto"/>
              </w:rPr>
            </w:pPr>
            <w:r w:rsidRPr="00F8567E">
              <w:rPr>
                <w:color w:val="auto"/>
              </w:rPr>
              <w:t xml:space="preserve">przyporządkowuje w swoich systemach informatycznych obsługi rynku energii </w:t>
            </w:r>
            <w:r>
              <w:rPr>
                <w:color w:val="auto"/>
              </w:rPr>
              <w:t>PPE</w:t>
            </w:r>
            <w:r w:rsidRPr="00F8567E">
              <w:rPr>
                <w:color w:val="auto"/>
              </w:rPr>
              <w:t xml:space="preserve"> URD</w:t>
            </w:r>
            <w:r w:rsidRPr="00F8567E">
              <w:rPr>
                <w:color w:val="auto"/>
                <w:vertAlign w:val="subscript"/>
              </w:rPr>
              <w:t>O</w:t>
            </w:r>
            <w:r w:rsidRPr="00F8567E">
              <w:rPr>
                <w:color w:val="auto"/>
              </w:rPr>
              <w:t xml:space="preserve"> posiadających umowę sprzedaży ze Sprzedawcą lub miejsca dostarczania URD</w:t>
            </w:r>
            <w:r w:rsidRPr="00F8567E">
              <w:rPr>
                <w:color w:val="auto"/>
                <w:vertAlign w:val="subscript"/>
              </w:rPr>
              <w:t>W</w:t>
            </w:r>
            <w:r w:rsidRPr="00F8567E">
              <w:rPr>
                <w:color w:val="auto"/>
              </w:rPr>
              <w:t xml:space="preserve"> do MB JG</w:t>
            </w:r>
            <w:r w:rsidRPr="00F8567E">
              <w:rPr>
                <w:color w:val="auto"/>
                <w:vertAlign w:val="subscript"/>
              </w:rPr>
              <w:t>O</w:t>
            </w:r>
            <w:r w:rsidRPr="00F8567E">
              <w:rPr>
                <w:color w:val="auto"/>
              </w:rPr>
              <w:t>, którą dysponuje nowy POB;</w:t>
            </w:r>
          </w:p>
          <w:p w:rsidR="00BC0CF2" w:rsidRPr="00F8567E" w:rsidRDefault="00E45165" w:rsidP="009F630A">
            <w:pPr>
              <w:numPr>
                <w:ilvl w:val="0"/>
                <w:numId w:val="20"/>
              </w:numPr>
              <w:tabs>
                <w:tab w:val="clear" w:pos="717"/>
                <w:tab w:val="clear" w:pos="4536"/>
                <w:tab w:val="clear" w:pos="9072"/>
                <w:tab w:val="num" w:pos="459"/>
              </w:tabs>
              <w:ind w:left="459" w:hanging="426"/>
              <w:rPr>
                <w:color w:val="auto"/>
                <w:szCs w:val="24"/>
              </w:rPr>
            </w:pPr>
            <w:r>
              <w:t>OSD</w:t>
            </w:r>
            <w:r w:rsidR="00BC0CF2" w:rsidRPr="00F8567E">
              <w:rPr>
                <w:color w:val="auto"/>
                <w:szCs w:val="24"/>
              </w:rPr>
              <w:t>, w przypadku negatywnej weryfikacji zgłoszenia</w:t>
            </w:r>
            <w:r w:rsidR="00BC0CF2">
              <w:rPr>
                <w:color w:val="auto"/>
                <w:szCs w:val="24"/>
              </w:rPr>
              <w:t>,</w:t>
            </w:r>
            <w:r w:rsidR="00BC0CF2" w:rsidRPr="00F8567E">
              <w:rPr>
                <w:color w:val="auto"/>
                <w:szCs w:val="24"/>
              </w:rPr>
              <w:t xml:space="preserve"> o którym mowa w </w:t>
            </w:r>
            <w:proofErr w:type="spellStart"/>
            <w:r w:rsidR="00BC0CF2" w:rsidRPr="00F8567E">
              <w:rPr>
                <w:color w:val="auto"/>
                <w:szCs w:val="24"/>
              </w:rPr>
              <w:t>ppkt</w:t>
            </w:r>
            <w:proofErr w:type="spellEnd"/>
            <w:r w:rsidR="00BC0CF2" w:rsidRPr="00F8567E">
              <w:rPr>
                <w:color w:val="auto"/>
                <w:szCs w:val="24"/>
              </w:rPr>
              <w:t>. 1), informuje nowego POB oraz sprzedawcę lub URD</w:t>
            </w:r>
            <w:r w:rsidR="00BC0CF2" w:rsidRPr="00F8567E">
              <w:rPr>
                <w:color w:val="auto"/>
                <w:szCs w:val="24"/>
                <w:vertAlign w:val="subscript"/>
              </w:rPr>
              <w:t>W</w:t>
            </w:r>
            <w:r w:rsidR="00BC0CF2" w:rsidRPr="00F8567E">
              <w:rPr>
                <w:color w:val="auto"/>
                <w:szCs w:val="24"/>
              </w:rPr>
              <w:t xml:space="preserve"> o przyczynach negatywnej weryfikacji.</w:t>
            </w:r>
          </w:p>
        </w:tc>
      </w:tr>
      <w:tr w:rsidR="00BC0CF2" w:rsidRPr="00F8567E" w:rsidTr="00F021B9">
        <w:trPr>
          <w:trHeight w:val="356"/>
        </w:trPr>
        <w:tc>
          <w:tcPr>
            <w:tcW w:w="1135" w:type="dxa"/>
          </w:tcPr>
          <w:p w:rsidR="00BC0CF2" w:rsidRPr="00F8567E" w:rsidRDefault="00BC0CF2" w:rsidP="00F021B9">
            <w:pPr>
              <w:tabs>
                <w:tab w:val="clear" w:pos="4536"/>
                <w:tab w:val="clear" w:pos="9072"/>
              </w:tabs>
              <w:ind w:firstLine="0"/>
              <w:rPr>
                <w:color w:val="auto"/>
              </w:rPr>
            </w:pPr>
            <w:r w:rsidRPr="00F8567E">
              <w:rPr>
                <w:color w:val="auto"/>
              </w:rPr>
              <w:lastRenderedPageBreak/>
              <w:t>E.3.</w:t>
            </w:r>
          </w:p>
        </w:tc>
        <w:tc>
          <w:tcPr>
            <w:tcW w:w="8186" w:type="dxa"/>
          </w:tcPr>
          <w:p w:rsidR="00BC0CF2" w:rsidRDefault="00BC0CF2" w:rsidP="00F021B9">
            <w:pPr>
              <w:ind w:firstLine="0"/>
              <w:rPr>
                <w:color w:val="auto"/>
              </w:rPr>
            </w:pPr>
            <w:r>
              <w:rPr>
                <w:color w:val="auto"/>
              </w:rPr>
              <w:t xml:space="preserve">Po pozytywnej weryfikacji </w:t>
            </w:r>
            <w:r w:rsidR="00E45165">
              <w:rPr>
                <w:color w:val="auto"/>
              </w:rPr>
              <w:t>OSD</w:t>
            </w:r>
            <w:r>
              <w:rPr>
                <w:color w:val="auto"/>
              </w:rPr>
              <w:t xml:space="preserve"> w terminie 10 dni od dnia otrzymania zgłoszenia zmiany POB od sprzedawcy, o </w:t>
            </w:r>
            <w:proofErr w:type="spellStart"/>
            <w:r>
              <w:rPr>
                <w:color w:val="auto"/>
              </w:rPr>
              <w:t>kórym</w:t>
            </w:r>
            <w:proofErr w:type="spellEnd"/>
            <w:r>
              <w:rPr>
                <w:color w:val="auto"/>
              </w:rPr>
              <w:t xml:space="preserve"> mowa w pkt. E2, dokonuje zgłoszenia  do OP-</w:t>
            </w:r>
            <w:proofErr w:type="spellStart"/>
            <w:r>
              <w:rPr>
                <w:color w:val="auto"/>
              </w:rPr>
              <w:t>OSDp</w:t>
            </w:r>
            <w:proofErr w:type="spellEnd"/>
            <w:r>
              <w:rPr>
                <w:color w:val="auto"/>
              </w:rPr>
              <w:t xml:space="preserve"> o dokonanie zmiany POB dla sprzedawcy. OP-</w:t>
            </w:r>
            <w:proofErr w:type="spellStart"/>
            <w:r>
              <w:rPr>
                <w:color w:val="auto"/>
              </w:rPr>
              <w:t>OSDp</w:t>
            </w:r>
            <w:proofErr w:type="spellEnd"/>
            <w:r>
              <w:rPr>
                <w:color w:val="auto"/>
              </w:rPr>
              <w:t xml:space="preserve"> dokonuje weryfikacji zgłoszonego powiadomienia przez </w:t>
            </w:r>
            <w:r w:rsidR="00E45165">
              <w:rPr>
                <w:color w:val="auto"/>
              </w:rPr>
              <w:t>OSD</w:t>
            </w:r>
            <w:r>
              <w:rPr>
                <w:color w:val="auto"/>
              </w:rPr>
              <w:t xml:space="preserve">. </w:t>
            </w:r>
          </w:p>
          <w:p w:rsidR="00BC0CF2" w:rsidRDefault="00BC0CF2" w:rsidP="00F021B9">
            <w:pPr>
              <w:ind w:firstLine="0"/>
              <w:rPr>
                <w:color w:val="auto"/>
              </w:rPr>
            </w:pPr>
            <w:r w:rsidRPr="00F8567E">
              <w:rPr>
                <w:color w:val="auto"/>
              </w:rPr>
              <w:t xml:space="preserve">Zmiana podmiotu odpowiedzialnego za bilansowanie handlowe następuje z pierwszym dniem kolejnej dekady miesiąca, następującej po dacie pozytywnej weryfikacji zgłoszenia </w:t>
            </w:r>
            <w:r>
              <w:rPr>
                <w:color w:val="auto"/>
              </w:rPr>
              <w:t xml:space="preserve">wykonane przez </w:t>
            </w:r>
            <w:r w:rsidR="00E45165">
              <w:rPr>
                <w:color w:val="auto"/>
              </w:rPr>
              <w:t>OSD</w:t>
            </w:r>
            <w:r>
              <w:rPr>
                <w:color w:val="auto"/>
              </w:rPr>
              <w:t xml:space="preserve"> do OP-</w:t>
            </w:r>
            <w:proofErr w:type="spellStart"/>
            <w:r>
              <w:rPr>
                <w:color w:val="auto"/>
              </w:rPr>
              <w:t>OSDp</w:t>
            </w:r>
            <w:proofErr w:type="spellEnd"/>
            <w:r w:rsidRPr="00F8567E">
              <w:rPr>
                <w:color w:val="auto"/>
              </w:rPr>
              <w:t xml:space="preserve">, jednak nie wcześniej niż po </w:t>
            </w:r>
            <w:r>
              <w:rPr>
                <w:color w:val="auto"/>
              </w:rPr>
              <w:t>2</w:t>
            </w:r>
            <w:r w:rsidRPr="00F8567E">
              <w:rPr>
                <w:color w:val="auto"/>
              </w:rPr>
              <w:t>0 dniach kalendarzowych od powyższej daty, z zastrzeżeniem pkt. E.5.</w:t>
            </w:r>
          </w:p>
          <w:p w:rsidR="00D7098B" w:rsidRPr="00F8567E" w:rsidRDefault="00D7098B" w:rsidP="00F021B9">
            <w:pPr>
              <w:ind w:firstLine="0"/>
              <w:rPr>
                <w:color w:val="auto"/>
              </w:rPr>
            </w:pPr>
            <w:r w:rsidRPr="00E004D8">
              <w:rPr>
                <w:color w:val="auto"/>
              </w:rPr>
              <w:t xml:space="preserve">Powyższe terminy nie dotyczą przypadku utraty POB przez sprzedawcę lub </w:t>
            </w:r>
            <w:proofErr w:type="spellStart"/>
            <w:r w:rsidRPr="00E004D8">
              <w:rPr>
                <w:color w:val="auto"/>
              </w:rPr>
              <w:t>URDw</w:t>
            </w:r>
            <w:proofErr w:type="spellEnd"/>
            <w:r w:rsidRPr="00E004D8">
              <w:rPr>
                <w:color w:val="auto"/>
              </w:rPr>
              <w:t xml:space="preserve"> w związku z zaprzestaniem lub zawieszeniem działalności przez dotychczasowego POB na rynku bilansującym, jeżeli sprzedawca lub </w:t>
            </w:r>
            <w:proofErr w:type="spellStart"/>
            <w:r w:rsidRPr="00E004D8">
              <w:rPr>
                <w:color w:val="auto"/>
              </w:rPr>
              <w:t>URDw</w:t>
            </w:r>
            <w:proofErr w:type="spellEnd"/>
            <w:r w:rsidRPr="00E004D8">
              <w:rPr>
                <w:color w:val="auto"/>
              </w:rPr>
              <w:t xml:space="preserve"> przekaże </w:t>
            </w:r>
            <w:r>
              <w:rPr>
                <w:color w:val="auto"/>
              </w:rPr>
              <w:t>OSD</w:t>
            </w:r>
            <w:r w:rsidRPr="00E004D8">
              <w:rPr>
                <w:color w:val="auto"/>
              </w:rPr>
              <w:t xml:space="preserve"> formularz, o którym mowa w pkt. E.2.1., przed terminem zaprzestania lub zawieszenia działalności na rynku bilansującym przez dotychczasowego POB. W takim przypadku zmiana POB następuje po dokonaniu przez </w:t>
            </w:r>
            <w:r>
              <w:rPr>
                <w:color w:val="auto"/>
              </w:rPr>
              <w:t>OSD</w:t>
            </w:r>
            <w:r w:rsidRPr="00E004D8">
              <w:rPr>
                <w:color w:val="auto"/>
              </w:rPr>
              <w:t xml:space="preserve"> pozytywnej weryfikacji otrzymanego powiadomienia pod względem poprawności i zgodności z zawartymi umowami, w terminie zaprzestania lub zawieszenia działalności przez dotychczasowego POB na rynku bilansującym</w:t>
            </w:r>
            <w:r>
              <w:rPr>
                <w:color w:val="auto"/>
              </w:rPr>
              <w:t>.</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t>E.4.</w:t>
            </w:r>
          </w:p>
        </w:tc>
        <w:tc>
          <w:tcPr>
            <w:tcW w:w="8186" w:type="dxa"/>
          </w:tcPr>
          <w:p w:rsidR="00BC0CF2" w:rsidRPr="00F8567E" w:rsidRDefault="00BC0CF2" w:rsidP="00F021B9">
            <w:pPr>
              <w:ind w:firstLine="0"/>
              <w:rPr>
                <w:color w:val="auto"/>
                <w:szCs w:val="24"/>
              </w:rPr>
            </w:pPr>
            <w:r w:rsidRPr="00F8567E">
              <w:rPr>
                <w:color w:val="auto"/>
                <w:szCs w:val="24"/>
              </w:rPr>
              <w:t xml:space="preserve">Z dniem zmiany POB, </w:t>
            </w:r>
            <w:r w:rsidR="00E45165">
              <w:rPr>
                <w:color w:val="auto"/>
                <w:szCs w:val="24"/>
              </w:rPr>
              <w:t>OSD</w:t>
            </w:r>
            <w:r>
              <w:rPr>
                <w:color w:val="auto"/>
                <w:szCs w:val="24"/>
              </w:rPr>
              <w:t xml:space="preserve"> i OP-</w:t>
            </w:r>
            <w:proofErr w:type="spellStart"/>
            <w:r>
              <w:rPr>
                <w:color w:val="auto"/>
                <w:szCs w:val="24"/>
              </w:rPr>
              <w:t>OSDp</w:t>
            </w:r>
            <w:proofErr w:type="spellEnd"/>
            <w:r>
              <w:rPr>
                <w:color w:val="auto"/>
                <w:szCs w:val="24"/>
              </w:rPr>
              <w:t xml:space="preserve"> </w:t>
            </w:r>
            <w:r w:rsidRPr="00F8567E">
              <w:rPr>
                <w:color w:val="auto"/>
                <w:szCs w:val="24"/>
              </w:rPr>
              <w:t>przeprowadza zmiany w konfiguracji i strukturze obiektowej i podmiotowej rynku detalicznego, które obejmują POB przekazującego odpowiedzialność za bilansowanie handlowe (dotychczasowy POB) i POB przejmującego tą odpowiedzialność (nowy POB), z uwzględnieniem że:</w:t>
            </w:r>
          </w:p>
          <w:p w:rsidR="00BC0CF2" w:rsidRPr="00F8567E" w:rsidRDefault="00BC0CF2" w:rsidP="009F630A">
            <w:pPr>
              <w:numPr>
                <w:ilvl w:val="0"/>
                <w:numId w:val="22"/>
              </w:numPr>
              <w:tabs>
                <w:tab w:val="clear" w:pos="484"/>
                <w:tab w:val="num" w:pos="459"/>
              </w:tabs>
              <w:ind w:left="459" w:hanging="426"/>
              <w:rPr>
                <w:color w:val="auto"/>
                <w:szCs w:val="24"/>
              </w:rPr>
            </w:pPr>
            <w:r w:rsidRPr="00F8567E">
              <w:rPr>
                <w:color w:val="auto"/>
                <w:szCs w:val="24"/>
              </w:rPr>
              <w:t xml:space="preserve">każdy PPE danego URD powinien być przyporządkowany tylko do jednego </w:t>
            </w:r>
            <w:r>
              <w:rPr>
                <w:color w:val="auto"/>
                <w:szCs w:val="24"/>
              </w:rPr>
              <w:t>MDD</w:t>
            </w:r>
            <w:r w:rsidRPr="00F8567E">
              <w:rPr>
                <w:color w:val="auto"/>
                <w:szCs w:val="24"/>
              </w:rPr>
              <w:t>;</w:t>
            </w:r>
          </w:p>
          <w:p w:rsidR="00BC0CF2" w:rsidRPr="00F8567E" w:rsidRDefault="00BC0CF2" w:rsidP="009F630A">
            <w:pPr>
              <w:numPr>
                <w:ilvl w:val="0"/>
                <w:numId w:val="22"/>
              </w:numPr>
              <w:tabs>
                <w:tab w:val="clear" w:pos="484"/>
                <w:tab w:val="num" w:pos="459"/>
              </w:tabs>
              <w:ind w:left="459" w:hanging="426"/>
              <w:rPr>
                <w:color w:val="auto"/>
                <w:szCs w:val="24"/>
              </w:rPr>
            </w:pPr>
            <w:r w:rsidRPr="00F8567E">
              <w:rPr>
                <w:color w:val="auto"/>
                <w:szCs w:val="24"/>
              </w:rPr>
              <w:t>każdy MDD powinien być przyporządkowany tylko do jednego MB;</w:t>
            </w:r>
          </w:p>
          <w:p w:rsidR="00BC0CF2" w:rsidRPr="00F8567E" w:rsidRDefault="00BC0CF2" w:rsidP="009F630A">
            <w:pPr>
              <w:numPr>
                <w:ilvl w:val="0"/>
                <w:numId w:val="22"/>
              </w:numPr>
              <w:tabs>
                <w:tab w:val="clear" w:pos="484"/>
                <w:tab w:val="num" w:pos="459"/>
              </w:tabs>
              <w:ind w:left="459" w:hanging="426"/>
              <w:rPr>
                <w:color w:val="auto"/>
                <w:szCs w:val="24"/>
              </w:rPr>
            </w:pPr>
            <w:r w:rsidRPr="00F8567E">
              <w:rPr>
                <w:color w:val="auto"/>
                <w:szCs w:val="24"/>
              </w:rPr>
              <w:t>URD</w:t>
            </w:r>
            <w:r w:rsidRPr="00F8567E">
              <w:rPr>
                <w:color w:val="auto"/>
                <w:szCs w:val="24"/>
                <w:vertAlign w:val="subscript"/>
              </w:rPr>
              <w:t>W</w:t>
            </w:r>
            <w:r w:rsidRPr="00F8567E">
              <w:rPr>
                <w:color w:val="auto"/>
                <w:szCs w:val="24"/>
              </w:rPr>
              <w:t xml:space="preserve"> mogą być bilansowani handlowo tylko w MB</w:t>
            </w:r>
            <w:r w:rsidRPr="00F8567E">
              <w:rPr>
                <w:color w:val="auto"/>
                <w:szCs w:val="24"/>
                <w:vertAlign w:val="subscript"/>
              </w:rPr>
              <w:t>W</w:t>
            </w:r>
            <w:r w:rsidRPr="00F8567E">
              <w:rPr>
                <w:color w:val="auto"/>
                <w:szCs w:val="24"/>
              </w:rPr>
              <w:t>;</w:t>
            </w:r>
          </w:p>
          <w:p w:rsidR="00BC0CF2" w:rsidRPr="00F8567E" w:rsidRDefault="00BC0CF2" w:rsidP="009F630A">
            <w:pPr>
              <w:numPr>
                <w:ilvl w:val="0"/>
                <w:numId w:val="22"/>
              </w:numPr>
              <w:tabs>
                <w:tab w:val="clear" w:pos="484"/>
                <w:tab w:val="num" w:pos="459"/>
              </w:tabs>
              <w:ind w:left="459" w:hanging="426"/>
              <w:rPr>
                <w:color w:val="auto"/>
                <w:szCs w:val="24"/>
              </w:rPr>
            </w:pPr>
            <w:r w:rsidRPr="00F8567E">
              <w:rPr>
                <w:color w:val="auto"/>
                <w:szCs w:val="24"/>
              </w:rPr>
              <w:t>URD</w:t>
            </w:r>
            <w:r w:rsidRPr="00F8567E">
              <w:rPr>
                <w:color w:val="auto"/>
                <w:szCs w:val="24"/>
                <w:vertAlign w:val="subscript"/>
              </w:rPr>
              <w:t>O</w:t>
            </w:r>
            <w:r w:rsidRPr="00F8567E">
              <w:rPr>
                <w:color w:val="auto"/>
                <w:szCs w:val="24"/>
              </w:rPr>
              <w:t xml:space="preserve"> mogą być bilansowani handlowo tylko w MB</w:t>
            </w:r>
            <w:r w:rsidRPr="00F8567E">
              <w:rPr>
                <w:color w:val="auto"/>
                <w:szCs w:val="24"/>
                <w:vertAlign w:val="subscript"/>
              </w:rPr>
              <w:t>O</w:t>
            </w:r>
            <w:r w:rsidRPr="00F8567E">
              <w:rPr>
                <w:color w:val="auto"/>
                <w:szCs w:val="24"/>
              </w:rPr>
              <w:t>.</w:t>
            </w:r>
          </w:p>
        </w:tc>
      </w:tr>
      <w:tr w:rsidR="00BC0CF2" w:rsidRPr="00F8567E" w:rsidTr="00F021B9">
        <w:tc>
          <w:tcPr>
            <w:tcW w:w="1135" w:type="dxa"/>
          </w:tcPr>
          <w:p w:rsidR="00BC0CF2" w:rsidRPr="00F8567E" w:rsidRDefault="00BC0CF2" w:rsidP="00F021B9">
            <w:pPr>
              <w:tabs>
                <w:tab w:val="clear" w:pos="4536"/>
                <w:tab w:val="clear" w:pos="9072"/>
              </w:tabs>
              <w:ind w:firstLine="0"/>
              <w:rPr>
                <w:color w:val="auto"/>
              </w:rPr>
            </w:pPr>
            <w:r w:rsidRPr="00F8567E">
              <w:rPr>
                <w:color w:val="auto"/>
              </w:rPr>
              <w:t>E.5.</w:t>
            </w:r>
          </w:p>
        </w:tc>
        <w:tc>
          <w:tcPr>
            <w:tcW w:w="8186" w:type="dxa"/>
          </w:tcPr>
          <w:p w:rsidR="00BC0CF2" w:rsidRPr="00F8567E" w:rsidRDefault="00BC0CF2" w:rsidP="00F021B9">
            <w:pPr>
              <w:ind w:firstLine="0"/>
              <w:rPr>
                <w:color w:val="auto"/>
                <w:szCs w:val="24"/>
              </w:rPr>
            </w:pPr>
            <w:r w:rsidRPr="00F8567E">
              <w:rPr>
                <w:color w:val="auto"/>
              </w:rPr>
              <w:t xml:space="preserve">Jeżeli </w:t>
            </w:r>
            <w:r w:rsidR="00E45165">
              <w:t>OSD</w:t>
            </w:r>
            <w:r>
              <w:rPr>
                <w:color w:val="auto"/>
              </w:rPr>
              <w:t xml:space="preserve"> </w:t>
            </w:r>
            <w:r w:rsidRPr="00F8567E">
              <w:rPr>
                <w:color w:val="auto"/>
              </w:rPr>
              <w:t>otrzyma powiadomienie, o którym mowa w pkt. E.2, od sprzedawcy lub URD</w:t>
            </w:r>
            <w:r w:rsidRPr="00F8567E">
              <w:rPr>
                <w:color w:val="auto"/>
                <w:vertAlign w:val="subscript"/>
              </w:rPr>
              <w:t>W</w:t>
            </w:r>
            <w:r w:rsidRPr="00F8567E">
              <w:rPr>
                <w:color w:val="auto"/>
              </w:rPr>
              <w:t xml:space="preserve"> przed datą nadania i uaktywnienia na rynku bilansującym, zgodnie z zasadami określonymi </w:t>
            </w:r>
            <w:r>
              <w:rPr>
                <w:color w:val="auto"/>
              </w:rPr>
              <w:t xml:space="preserve">w </w:t>
            </w:r>
            <w:proofErr w:type="spellStart"/>
            <w:r>
              <w:rPr>
                <w:color w:val="auto"/>
              </w:rPr>
              <w:t>IRiESP</w:t>
            </w:r>
            <w:proofErr w:type="spellEnd"/>
            <w:r w:rsidRPr="00F8567E">
              <w:rPr>
                <w:color w:val="auto"/>
              </w:rPr>
              <w:t xml:space="preserve">, MB nowego POB w sieci dystrybucyjnej </w:t>
            </w:r>
            <w:r w:rsidR="00E45165">
              <w:t>OSD</w:t>
            </w:r>
            <w:r w:rsidRPr="00F8567E">
              <w:rPr>
                <w:color w:val="auto"/>
              </w:rPr>
              <w:t>, wówczas weryfikacja powiadomienia o zmianie POB jest negatywna.</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t>E.6.</w:t>
            </w:r>
          </w:p>
        </w:tc>
        <w:tc>
          <w:tcPr>
            <w:tcW w:w="8186" w:type="dxa"/>
          </w:tcPr>
          <w:p w:rsidR="00BC0CF2" w:rsidRPr="00F8567E" w:rsidRDefault="00BC0CF2" w:rsidP="00F021B9">
            <w:pPr>
              <w:tabs>
                <w:tab w:val="clear" w:pos="4536"/>
                <w:tab w:val="clear" w:pos="9072"/>
              </w:tabs>
              <w:ind w:firstLine="0"/>
            </w:pPr>
            <w:r w:rsidRPr="00F8567E">
              <w:rPr>
                <w:color w:val="auto"/>
              </w:rPr>
              <w:t>W przypadku, gdy POB wskazany przez sprzedawcę lub URD</w:t>
            </w:r>
            <w:r w:rsidRPr="00F8567E">
              <w:rPr>
                <w:color w:val="auto"/>
                <w:vertAlign w:val="subscript"/>
              </w:rPr>
              <w:t>W</w:t>
            </w:r>
            <w:r w:rsidRPr="00F8567E">
              <w:rPr>
                <w:color w:val="auto"/>
              </w:rPr>
              <w:t xml:space="preserve"> jako odpowiedzialny za jego bilansowanie handlowe, zaprzestanie niezależnie od przyczyny działalności na rynku bilansującym, wówczas odpowiedzialność za bilansowanie handlowe przechodzi ze skutkiem od dnia zaprzestania tej działalności przez dotychczasowego POB na nowego POB wskazanego przez sprzedawcę rezerwowego dla URD</w:t>
            </w:r>
            <w:r w:rsidRPr="00F8567E">
              <w:rPr>
                <w:color w:val="auto"/>
                <w:vertAlign w:val="subscript"/>
              </w:rPr>
              <w:t>O</w:t>
            </w:r>
            <w:r w:rsidRPr="00F8567E">
              <w:rPr>
                <w:color w:val="auto"/>
              </w:rPr>
              <w:t xml:space="preserve"> lub na </w:t>
            </w:r>
            <w:r w:rsidR="00E45165">
              <w:t>OSD</w:t>
            </w:r>
            <w:r>
              <w:rPr>
                <w:color w:val="auto"/>
              </w:rPr>
              <w:t xml:space="preserve"> </w:t>
            </w:r>
            <w:r w:rsidRPr="00F8567E">
              <w:rPr>
                <w:color w:val="auto"/>
              </w:rPr>
              <w:t>w przypadku utraty POB przez URD</w:t>
            </w:r>
            <w:r w:rsidRPr="00F8567E">
              <w:rPr>
                <w:color w:val="auto"/>
                <w:vertAlign w:val="subscript"/>
              </w:rPr>
              <w:t>W</w:t>
            </w:r>
            <w:r w:rsidRPr="00F8567E">
              <w:rPr>
                <w:color w:val="auto"/>
              </w:rPr>
              <w:t>. Jednocześnie z tym dniem sprzedaż energii do URD</w:t>
            </w:r>
            <w:r w:rsidRPr="00F8567E">
              <w:rPr>
                <w:color w:val="auto"/>
                <w:vertAlign w:val="subscript"/>
              </w:rPr>
              <w:t>O</w:t>
            </w:r>
            <w:r w:rsidRPr="00F8567E">
              <w:rPr>
                <w:color w:val="auto"/>
              </w:rPr>
              <w:t xml:space="preserve"> przejmuje sprzedawca rezerwowy.</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t>E.7.</w:t>
            </w:r>
          </w:p>
        </w:tc>
        <w:tc>
          <w:tcPr>
            <w:tcW w:w="8186" w:type="dxa"/>
          </w:tcPr>
          <w:p w:rsidR="00BC0CF2" w:rsidRPr="00F8567E" w:rsidRDefault="00BC0CF2" w:rsidP="00F021B9">
            <w:pPr>
              <w:tabs>
                <w:tab w:val="clear" w:pos="4536"/>
                <w:tab w:val="clear" w:pos="9072"/>
              </w:tabs>
              <w:ind w:firstLine="0"/>
            </w:pPr>
            <w:r w:rsidRPr="00F8567E">
              <w:rPr>
                <w:color w:val="auto"/>
              </w:rPr>
              <w:t xml:space="preserve">Jeżeli sprzedaży energii do </w:t>
            </w:r>
            <w:r w:rsidRPr="00F8567E">
              <w:rPr>
                <w:color w:val="auto"/>
                <w:szCs w:val="24"/>
              </w:rPr>
              <w:t>URD</w:t>
            </w:r>
            <w:r w:rsidRPr="00F8567E">
              <w:rPr>
                <w:color w:val="auto"/>
                <w:szCs w:val="24"/>
                <w:vertAlign w:val="subscript"/>
              </w:rPr>
              <w:t>O</w:t>
            </w:r>
            <w:r w:rsidRPr="00F8567E">
              <w:rPr>
                <w:color w:val="auto"/>
              </w:rPr>
              <w:t>, w przypadku</w:t>
            </w:r>
            <w:r>
              <w:rPr>
                <w:color w:val="auto"/>
              </w:rPr>
              <w:t>,</w:t>
            </w:r>
            <w:r w:rsidRPr="00F8567E">
              <w:rPr>
                <w:color w:val="auto"/>
              </w:rPr>
              <w:t xml:space="preserve"> o którym mowa w pkt. E.6.</w:t>
            </w:r>
            <w:r>
              <w:rPr>
                <w:color w:val="auto"/>
              </w:rPr>
              <w:t>,</w:t>
            </w:r>
            <w:r w:rsidRPr="00F8567E">
              <w:rPr>
                <w:color w:val="auto"/>
              </w:rPr>
              <w:t xml:space="preserve"> nie przejmie sprzedawca rezerwowy lub </w:t>
            </w:r>
            <w:r w:rsidRPr="00F8567E">
              <w:rPr>
                <w:color w:val="auto"/>
                <w:szCs w:val="24"/>
              </w:rPr>
              <w:t>URD</w:t>
            </w:r>
            <w:r w:rsidRPr="00F8567E">
              <w:rPr>
                <w:color w:val="auto"/>
                <w:szCs w:val="24"/>
                <w:vertAlign w:val="subscript"/>
              </w:rPr>
              <w:t>O</w:t>
            </w:r>
            <w:r w:rsidRPr="00F8567E">
              <w:rPr>
                <w:color w:val="auto"/>
              </w:rPr>
              <w:t xml:space="preserve"> utraci sprzedawcę rezerwowego albo </w:t>
            </w:r>
            <w:r w:rsidRPr="00F8567E">
              <w:rPr>
                <w:color w:val="auto"/>
              </w:rPr>
              <w:lastRenderedPageBreak/>
              <w:t xml:space="preserve">sprzedawca rezerwowy utraci wskazanego przez siebie POB jako odpowiedzialnego za bilansowanie handlowe, wówczas </w:t>
            </w:r>
            <w:r w:rsidRPr="00F8567E">
              <w:rPr>
                <w:color w:val="auto"/>
                <w:szCs w:val="24"/>
              </w:rPr>
              <w:t>URD</w:t>
            </w:r>
            <w:r w:rsidRPr="00F8567E">
              <w:rPr>
                <w:color w:val="auto"/>
                <w:szCs w:val="24"/>
                <w:vertAlign w:val="subscript"/>
              </w:rPr>
              <w:t>O</w:t>
            </w:r>
            <w:r w:rsidRPr="00F8567E">
              <w:rPr>
                <w:color w:val="auto"/>
              </w:rPr>
              <w:t xml:space="preserve"> traci sprzedawcę rezerwowego. W takim przypadku URD</w:t>
            </w:r>
            <w:r w:rsidRPr="00F8567E">
              <w:rPr>
                <w:color w:val="auto"/>
                <w:vertAlign w:val="subscript"/>
              </w:rPr>
              <w:t>O</w:t>
            </w:r>
            <w:r w:rsidRPr="00F8567E">
              <w:rPr>
                <w:color w:val="auto"/>
              </w:rPr>
              <w:t xml:space="preserve"> nie posiada ważnej umowy sprzedaży i </w:t>
            </w:r>
            <w:r w:rsidR="00E45165">
              <w:t>OSD</w:t>
            </w:r>
            <w:r>
              <w:rPr>
                <w:color w:val="auto"/>
              </w:rPr>
              <w:t xml:space="preserve"> </w:t>
            </w:r>
            <w:r w:rsidRPr="00F8567E">
              <w:rPr>
                <w:color w:val="auto"/>
              </w:rPr>
              <w:t xml:space="preserve">ma prawo do wstrzymania dostarczania energii elektrycznej do </w:t>
            </w:r>
            <w:r w:rsidRPr="00F8567E">
              <w:rPr>
                <w:color w:val="auto"/>
                <w:szCs w:val="24"/>
              </w:rPr>
              <w:t>URD</w:t>
            </w:r>
            <w:r w:rsidRPr="00F8567E">
              <w:rPr>
                <w:color w:val="auto"/>
                <w:szCs w:val="24"/>
                <w:vertAlign w:val="subscript"/>
              </w:rPr>
              <w:t>O</w:t>
            </w:r>
            <w:r w:rsidRPr="00F8567E">
              <w:rPr>
                <w:color w:val="auto"/>
              </w:rPr>
              <w:t xml:space="preserve">, bez ponoszenia przez </w:t>
            </w:r>
            <w:r w:rsidR="00E45165">
              <w:t>OSD</w:t>
            </w:r>
            <w:r>
              <w:rPr>
                <w:color w:val="auto"/>
              </w:rPr>
              <w:t xml:space="preserve"> </w:t>
            </w:r>
            <w:r w:rsidRPr="00F8567E">
              <w:rPr>
                <w:color w:val="auto"/>
              </w:rPr>
              <w:t xml:space="preserve">odpowiedzialności z tego tytułu. Energia pobrana przez </w:t>
            </w:r>
            <w:r w:rsidRPr="00F8567E">
              <w:rPr>
                <w:color w:val="auto"/>
                <w:szCs w:val="24"/>
              </w:rPr>
              <w:t>URD</w:t>
            </w:r>
            <w:r w:rsidRPr="00F8567E">
              <w:rPr>
                <w:color w:val="auto"/>
                <w:szCs w:val="24"/>
                <w:vertAlign w:val="subscript"/>
              </w:rPr>
              <w:t>O</w:t>
            </w:r>
            <w:r w:rsidRPr="00F8567E">
              <w:rPr>
                <w:color w:val="auto"/>
              </w:rPr>
              <w:t xml:space="preserve"> w okresie poprzedzającym wstrzymanie dostarczania energii, będzie rozliczona po cenie stanowiącej pięciokrotność ceny energii elektrycznej o której mowa w art. 23 ust. 2 pkt. 18 litera b) ustawy Prawo energetyczne.</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lastRenderedPageBreak/>
              <w:t>E.8.</w:t>
            </w:r>
          </w:p>
        </w:tc>
        <w:tc>
          <w:tcPr>
            <w:tcW w:w="8186" w:type="dxa"/>
          </w:tcPr>
          <w:p w:rsidR="00BC0CF2" w:rsidRPr="00A176EB" w:rsidRDefault="00BC0CF2" w:rsidP="00F021B9">
            <w:pPr>
              <w:tabs>
                <w:tab w:val="clear" w:pos="4536"/>
                <w:tab w:val="clear" w:pos="9072"/>
              </w:tabs>
              <w:ind w:firstLine="0"/>
              <w:rPr>
                <w:color w:val="auto"/>
              </w:rPr>
            </w:pPr>
            <w:r w:rsidRPr="00F8567E">
              <w:rPr>
                <w:color w:val="auto"/>
              </w:rPr>
              <w:t xml:space="preserve">Jeżeli </w:t>
            </w:r>
            <w:r w:rsidRPr="00F8567E">
              <w:rPr>
                <w:color w:val="auto"/>
                <w:szCs w:val="24"/>
              </w:rPr>
              <w:t>URD</w:t>
            </w:r>
            <w:r w:rsidRPr="00F8567E">
              <w:rPr>
                <w:color w:val="auto"/>
                <w:szCs w:val="24"/>
                <w:vertAlign w:val="subscript"/>
              </w:rPr>
              <w:t>W</w:t>
            </w:r>
            <w:r w:rsidRPr="00F8567E">
              <w:rPr>
                <w:color w:val="auto"/>
              </w:rPr>
              <w:t xml:space="preserve"> utraci wskazany przez siebie podmiot odpowiedzialny za jego bilansowanie handlowe, wówczas </w:t>
            </w:r>
            <w:r w:rsidRPr="00F8567E">
              <w:rPr>
                <w:color w:val="auto"/>
                <w:szCs w:val="24"/>
              </w:rPr>
              <w:t>URD</w:t>
            </w:r>
            <w:r w:rsidRPr="00F8567E">
              <w:rPr>
                <w:color w:val="auto"/>
                <w:szCs w:val="24"/>
                <w:vertAlign w:val="subscript"/>
              </w:rPr>
              <w:t>W</w:t>
            </w:r>
            <w:r w:rsidRPr="00F8567E">
              <w:rPr>
                <w:color w:val="auto"/>
              </w:rPr>
              <w:t xml:space="preserve">, w porozumieniu z </w:t>
            </w:r>
            <w:r w:rsidR="00E45165">
              <w:t>OSD</w:t>
            </w:r>
            <w:r w:rsidRPr="00F8567E">
              <w:rPr>
                <w:color w:val="auto"/>
              </w:rPr>
              <w:t xml:space="preserve">, winien zaprzestać wprowadzania energii do sieci dystrybucyjnej </w:t>
            </w:r>
            <w:r w:rsidR="00E45165">
              <w:t>OSD</w:t>
            </w:r>
            <w:r w:rsidRPr="00F8567E">
              <w:rPr>
                <w:color w:val="auto"/>
              </w:rPr>
              <w:t xml:space="preserve">, a </w:t>
            </w:r>
            <w:r w:rsidR="00E45165">
              <w:t>OSD</w:t>
            </w:r>
            <w:r>
              <w:rPr>
                <w:color w:val="auto"/>
              </w:rPr>
              <w:t xml:space="preserve"> </w:t>
            </w:r>
            <w:r w:rsidRPr="00F8567E">
              <w:rPr>
                <w:color w:val="auto"/>
              </w:rPr>
              <w:t>ma prawo do wyłączenia tego URD</w:t>
            </w:r>
            <w:r w:rsidRPr="00F8567E">
              <w:rPr>
                <w:color w:val="auto"/>
                <w:vertAlign w:val="subscript"/>
              </w:rPr>
              <w:t>W</w:t>
            </w:r>
            <w:r w:rsidRPr="00F8567E">
              <w:rPr>
                <w:color w:val="auto"/>
              </w:rPr>
              <w:t xml:space="preserve">, bez ponoszenia przez </w:t>
            </w:r>
            <w:r>
              <w:t>OSD</w:t>
            </w:r>
            <w:r>
              <w:rPr>
                <w:color w:val="auto"/>
              </w:rPr>
              <w:t xml:space="preserve"> </w:t>
            </w:r>
            <w:r w:rsidRPr="00F8567E">
              <w:rPr>
                <w:color w:val="auto"/>
              </w:rPr>
              <w:t xml:space="preserve">odpowiedzialności z tego tytułu. Sposób i zasady rozliczenia energii niezbilansowania w okresie poprzedzającym zaprzestanie wprowadzenia energii do sieci dystrybucyjnej, określone są w umowie o świadczenie usług dystrybucji energii elektrycznej zawartej pomiędzy </w:t>
            </w:r>
            <w:r w:rsidR="00E45165">
              <w:t>OSD</w:t>
            </w:r>
            <w:r>
              <w:rPr>
                <w:color w:val="auto"/>
              </w:rPr>
              <w:t xml:space="preserve"> </w:t>
            </w:r>
            <w:r w:rsidRPr="00F8567E">
              <w:rPr>
                <w:color w:val="auto"/>
              </w:rPr>
              <w:t xml:space="preserve">a </w:t>
            </w:r>
            <w:r w:rsidRPr="00F8567E">
              <w:rPr>
                <w:color w:val="auto"/>
                <w:szCs w:val="24"/>
              </w:rPr>
              <w:t>URD</w:t>
            </w:r>
            <w:r w:rsidRPr="00F8567E">
              <w:rPr>
                <w:color w:val="auto"/>
                <w:szCs w:val="24"/>
                <w:vertAlign w:val="subscript"/>
              </w:rPr>
              <w:t>W</w:t>
            </w:r>
            <w:r>
              <w:rPr>
                <w:color w:val="auto"/>
                <w:szCs w:val="24"/>
              </w:rPr>
              <w:t>.</w:t>
            </w:r>
          </w:p>
        </w:tc>
      </w:tr>
      <w:tr w:rsidR="00BC0CF2" w:rsidRPr="00F8567E" w:rsidTr="00F021B9">
        <w:trPr>
          <w:trHeight w:val="1206"/>
        </w:trPr>
        <w:tc>
          <w:tcPr>
            <w:tcW w:w="1135" w:type="dxa"/>
          </w:tcPr>
          <w:p w:rsidR="00BC0CF2" w:rsidRPr="00F8567E" w:rsidRDefault="00BC0CF2" w:rsidP="00F021B9">
            <w:pPr>
              <w:tabs>
                <w:tab w:val="clear" w:pos="4536"/>
                <w:tab w:val="clear" w:pos="9072"/>
              </w:tabs>
              <w:ind w:firstLine="0"/>
            </w:pPr>
            <w:r w:rsidRPr="00F8567E">
              <w:rPr>
                <w:color w:val="auto"/>
              </w:rPr>
              <w:t>E.9.</w:t>
            </w:r>
          </w:p>
        </w:tc>
        <w:tc>
          <w:tcPr>
            <w:tcW w:w="8186" w:type="dxa"/>
          </w:tcPr>
          <w:p w:rsidR="00BC0CF2" w:rsidRPr="00F8567E" w:rsidRDefault="00E45165" w:rsidP="00F021B9">
            <w:pPr>
              <w:ind w:left="34" w:firstLine="0"/>
            </w:pPr>
            <w:r>
              <w:t>OSD</w:t>
            </w:r>
            <w:r w:rsidR="00BC0CF2">
              <w:rPr>
                <w:color w:val="auto"/>
              </w:rPr>
              <w:t xml:space="preserve"> </w:t>
            </w:r>
            <w:r w:rsidR="00BC0CF2" w:rsidRPr="00F8567E">
              <w:rPr>
                <w:color w:val="auto"/>
              </w:rPr>
              <w:t xml:space="preserve">niezwłocznie po uzyskaniu od OSP </w:t>
            </w:r>
            <w:r w:rsidR="00BC0CF2">
              <w:rPr>
                <w:color w:val="auto"/>
              </w:rPr>
              <w:t>lub OP-</w:t>
            </w:r>
            <w:proofErr w:type="spellStart"/>
            <w:r w:rsidR="00BC0CF2">
              <w:rPr>
                <w:color w:val="auto"/>
              </w:rPr>
              <w:t>OSDp</w:t>
            </w:r>
            <w:proofErr w:type="spellEnd"/>
            <w:r w:rsidR="00BC0CF2">
              <w:rPr>
                <w:color w:val="auto"/>
              </w:rPr>
              <w:t xml:space="preserve"> </w:t>
            </w:r>
            <w:r w:rsidR="00BC0CF2" w:rsidRPr="00F8567E">
              <w:rPr>
                <w:color w:val="auto"/>
              </w:rPr>
              <w:t>informacji o planowanym zaprzestaniu działalności na rynku bilansującym przez POB</w:t>
            </w:r>
            <w:r w:rsidR="00BC0CF2">
              <w:rPr>
                <w:color w:val="auto"/>
              </w:rPr>
              <w:t>,</w:t>
            </w:r>
            <w:r w:rsidR="00BC0CF2" w:rsidRPr="00F8567E">
              <w:rPr>
                <w:color w:val="auto"/>
              </w:rPr>
              <w:t xml:space="preserve"> powiadamia sprzedawcę lub </w:t>
            </w:r>
            <w:r w:rsidR="00BC0CF2" w:rsidRPr="00F8567E">
              <w:rPr>
                <w:color w:val="auto"/>
                <w:szCs w:val="24"/>
              </w:rPr>
              <w:t>URD</w:t>
            </w:r>
            <w:r w:rsidR="00BC0CF2" w:rsidRPr="00F8567E">
              <w:rPr>
                <w:color w:val="auto"/>
                <w:szCs w:val="24"/>
                <w:vertAlign w:val="subscript"/>
              </w:rPr>
              <w:t>W</w:t>
            </w:r>
            <w:r w:rsidR="00BC0CF2" w:rsidRPr="00F8567E">
              <w:rPr>
                <w:color w:val="auto"/>
              </w:rPr>
              <w:t xml:space="preserve">, którzy wskazali tego POB jako odpowiedzialnego za ich bilansowanie handlowe, o braku możliwości bilansowania handlowego przez wskazanego POB. W takim przypadku sprzedawca lub </w:t>
            </w:r>
            <w:r w:rsidR="00BC0CF2" w:rsidRPr="00F8567E">
              <w:rPr>
                <w:color w:val="auto"/>
                <w:szCs w:val="24"/>
              </w:rPr>
              <w:t>URD</w:t>
            </w:r>
            <w:r w:rsidR="00BC0CF2" w:rsidRPr="00F8567E">
              <w:rPr>
                <w:color w:val="auto"/>
                <w:szCs w:val="24"/>
                <w:vertAlign w:val="subscript"/>
              </w:rPr>
              <w:t>W</w:t>
            </w:r>
            <w:r w:rsidR="00BC0CF2" w:rsidRPr="00F8567E">
              <w:rPr>
                <w:color w:val="auto"/>
              </w:rPr>
              <w:t xml:space="preserve"> jest zobowiązany do zmiany POB. Zmiana ta musi nastąpić przed ww. terminem planowanego zaprzestania działalności na RB przez dotychczasowego POB, z zachowaniem postanowień niniejszego rozdziału E. W przeciwnym wypadku może nastąpić wstrzymanie przez </w:t>
            </w:r>
            <w:r>
              <w:t>OSD</w:t>
            </w:r>
            <w:r w:rsidR="00BC0CF2">
              <w:rPr>
                <w:color w:val="auto"/>
              </w:rPr>
              <w:t xml:space="preserve"> </w:t>
            </w:r>
            <w:r w:rsidR="00BC0CF2" w:rsidRPr="00F8567E">
              <w:rPr>
                <w:color w:val="auto"/>
              </w:rPr>
              <w:t xml:space="preserve">realizacji umów sprzedaży tego sprzedawcy lub </w:t>
            </w:r>
            <w:r w:rsidR="00BC0CF2" w:rsidRPr="00F8567E">
              <w:rPr>
                <w:color w:val="auto"/>
                <w:szCs w:val="24"/>
              </w:rPr>
              <w:t>URD</w:t>
            </w:r>
            <w:r w:rsidR="00BC0CF2" w:rsidRPr="00F8567E">
              <w:rPr>
                <w:color w:val="auto"/>
                <w:szCs w:val="24"/>
                <w:vertAlign w:val="subscript"/>
              </w:rPr>
              <w:t>W</w:t>
            </w:r>
            <w:r w:rsidR="00BC0CF2" w:rsidRPr="00F8567E">
              <w:rPr>
                <w:color w:val="auto"/>
              </w:rPr>
              <w:t>, na zasadach opisanych odpowiednio w pkt.E.7 i E.8.</w:t>
            </w:r>
          </w:p>
        </w:tc>
      </w:tr>
      <w:tr w:rsidR="00BC0CF2" w:rsidRPr="00F8567E" w:rsidTr="00F021B9">
        <w:trPr>
          <w:trHeight w:val="1094"/>
        </w:trPr>
        <w:tc>
          <w:tcPr>
            <w:tcW w:w="1135" w:type="dxa"/>
          </w:tcPr>
          <w:p w:rsidR="00BC0CF2" w:rsidRPr="00F8567E" w:rsidRDefault="00BC0CF2" w:rsidP="00F021B9">
            <w:pPr>
              <w:tabs>
                <w:tab w:val="clear" w:pos="4536"/>
                <w:tab w:val="clear" w:pos="9072"/>
              </w:tabs>
              <w:ind w:firstLine="0"/>
            </w:pPr>
            <w:r w:rsidRPr="00F8567E">
              <w:rPr>
                <w:color w:val="auto"/>
              </w:rPr>
              <w:t>E.10.</w:t>
            </w:r>
          </w:p>
        </w:tc>
        <w:tc>
          <w:tcPr>
            <w:tcW w:w="8186" w:type="dxa"/>
          </w:tcPr>
          <w:p w:rsidR="00BC0CF2" w:rsidRPr="00F8567E" w:rsidRDefault="00BC0CF2" w:rsidP="00F021B9">
            <w:pPr>
              <w:ind w:firstLine="0"/>
            </w:pPr>
            <w:r w:rsidRPr="00F8567E">
              <w:rPr>
                <w:color w:val="auto"/>
              </w:rPr>
              <w:t>POB odpowiedzialny za bilansowanie sprzedawcy lub URD</w:t>
            </w:r>
            <w:r w:rsidRPr="00F8567E">
              <w:rPr>
                <w:color w:val="auto"/>
                <w:vertAlign w:val="subscript"/>
              </w:rPr>
              <w:t>W</w:t>
            </w:r>
            <w:r w:rsidRPr="00F8567E">
              <w:rPr>
                <w:color w:val="auto"/>
              </w:rPr>
              <w:t xml:space="preserve"> jest zobowiązany do natychmiastowego skutecznego poinformowania </w:t>
            </w:r>
            <w:r w:rsidR="00E45165">
              <w:t>OSD</w:t>
            </w:r>
            <w:r>
              <w:rPr>
                <w:color w:val="auto"/>
              </w:rPr>
              <w:t xml:space="preserve"> </w:t>
            </w:r>
            <w:r w:rsidRPr="00F8567E">
              <w:rPr>
                <w:color w:val="auto"/>
              </w:rPr>
              <w:t>i sprzedawcy lub URD</w:t>
            </w:r>
            <w:r w:rsidRPr="00F8567E">
              <w:rPr>
                <w:color w:val="auto"/>
                <w:vertAlign w:val="subscript"/>
              </w:rPr>
              <w:t>W</w:t>
            </w:r>
            <w:r w:rsidRPr="00F8567E">
              <w:rPr>
                <w:color w:val="auto"/>
              </w:rPr>
              <w:t>, który go wskazał, o zaprzestaniu działalności na RB.</w:t>
            </w:r>
          </w:p>
        </w:tc>
      </w:tr>
      <w:tr w:rsidR="00BC0CF2" w:rsidRPr="00F8567E" w:rsidTr="00F021B9">
        <w:tc>
          <w:tcPr>
            <w:tcW w:w="1135" w:type="dxa"/>
          </w:tcPr>
          <w:p w:rsidR="00BC0CF2" w:rsidRPr="00F8567E" w:rsidRDefault="00BC0CF2" w:rsidP="00F021B9">
            <w:pPr>
              <w:tabs>
                <w:tab w:val="clear" w:pos="4536"/>
                <w:tab w:val="clear" w:pos="9072"/>
              </w:tabs>
              <w:ind w:firstLine="0"/>
            </w:pPr>
            <w:r w:rsidRPr="00F8567E">
              <w:rPr>
                <w:color w:val="auto"/>
              </w:rPr>
              <w:t>E.11.</w:t>
            </w:r>
          </w:p>
        </w:tc>
        <w:tc>
          <w:tcPr>
            <w:tcW w:w="8186" w:type="dxa"/>
          </w:tcPr>
          <w:p w:rsidR="00BC0CF2" w:rsidRPr="00F8567E" w:rsidRDefault="00BC0CF2" w:rsidP="00F021B9">
            <w:pPr>
              <w:tabs>
                <w:tab w:val="clear" w:pos="4536"/>
                <w:tab w:val="clear" w:pos="9072"/>
              </w:tabs>
              <w:ind w:firstLine="0"/>
            </w:pPr>
            <w:r w:rsidRPr="00F8567E">
              <w:rPr>
                <w:color w:val="auto"/>
              </w:rPr>
              <w:t>Zaprzestanie działalności przez sprzedawcę lub wskazanego przez sprzedawcę lub URD</w:t>
            </w:r>
            <w:r w:rsidRPr="00F8567E">
              <w:rPr>
                <w:color w:val="auto"/>
                <w:vertAlign w:val="subscript"/>
              </w:rPr>
              <w:t>W</w:t>
            </w:r>
            <w:r w:rsidRPr="00F8567E">
              <w:rPr>
                <w:color w:val="auto"/>
              </w:rPr>
              <w:t xml:space="preserve"> POB, skutkuje jednoczesnym wstrzymaniem realizacji umów sprzedaży energii tego sprzedawcy lub URD</w:t>
            </w:r>
            <w:r w:rsidRPr="00F8567E">
              <w:rPr>
                <w:color w:val="auto"/>
                <w:vertAlign w:val="subscript"/>
              </w:rPr>
              <w:t>W</w:t>
            </w:r>
            <w:r w:rsidRPr="00F8567E">
              <w:rPr>
                <w:color w:val="auto"/>
              </w:rPr>
              <w:t xml:space="preserve"> i zaprzestaniem bilansowania handlowego tego sprzedawcy lub URD</w:t>
            </w:r>
            <w:r w:rsidRPr="00F8567E">
              <w:rPr>
                <w:color w:val="auto"/>
                <w:vertAlign w:val="subscript"/>
              </w:rPr>
              <w:t>W</w:t>
            </w:r>
            <w:r w:rsidRPr="00F8567E">
              <w:rPr>
                <w:color w:val="auto"/>
              </w:rPr>
              <w:t xml:space="preserve"> przez POB na obszarze działania </w:t>
            </w:r>
            <w:r w:rsidR="00E45165">
              <w:t>OSD</w:t>
            </w:r>
            <w:r w:rsidRPr="00F8567E">
              <w:rPr>
                <w:color w:val="auto"/>
              </w:rPr>
              <w:t xml:space="preserve">. </w:t>
            </w:r>
          </w:p>
        </w:tc>
      </w:tr>
    </w:tbl>
    <w:p w:rsidR="00BC0CF2" w:rsidRPr="00F8567E" w:rsidRDefault="00BC0CF2" w:rsidP="00BC0CF2">
      <w:pPr>
        <w:jc w:val="left"/>
        <w:rPr>
          <w:color w:val="auto"/>
        </w:rPr>
      </w:pPr>
    </w:p>
    <w:p w:rsidR="00BC0CF2" w:rsidRPr="00F8567E" w:rsidRDefault="00BC0CF2" w:rsidP="00BC0CF2">
      <w:pPr>
        <w:pStyle w:val="Nagwek1"/>
        <w:tabs>
          <w:tab w:val="left" w:pos="567"/>
        </w:tabs>
        <w:ind w:left="567" w:hanging="567"/>
      </w:pPr>
      <w:r w:rsidRPr="00F8567E">
        <w:br w:type="page"/>
      </w:r>
      <w:bookmarkStart w:id="18" w:name="_Toc375295765"/>
      <w:r w:rsidRPr="00F8567E">
        <w:lastRenderedPageBreak/>
        <w:t>F.</w:t>
      </w:r>
      <w:r w:rsidRPr="00F8567E">
        <w:tab/>
        <w:t>PROCEDURA POWIADAMIANIA O ZAWARTYCH UMOWACH SPRZEDAŻY ENERGII ELEKTRYCZNEJ</w:t>
      </w:r>
      <w:bookmarkEnd w:id="18"/>
      <w:r w:rsidR="00C96FB7">
        <w:t xml:space="preserve"> ORAZ UMOWACH KOMPLEKSOWYCH</w:t>
      </w:r>
    </w:p>
    <w:p w:rsidR="00BC0CF2" w:rsidRPr="00F8567E" w:rsidRDefault="00BC0CF2" w:rsidP="00BC0CF2">
      <w:pPr>
        <w:pStyle w:val="styl0"/>
      </w:pPr>
    </w:p>
    <w:p w:rsidR="00BC0CF2" w:rsidRPr="00F8567E" w:rsidRDefault="00BC0CF2" w:rsidP="00BC0CF2">
      <w:pPr>
        <w:pStyle w:val="styl0"/>
      </w:pPr>
    </w:p>
    <w:tbl>
      <w:tblPr>
        <w:tblW w:w="9210" w:type="dxa"/>
        <w:tblLayout w:type="fixed"/>
        <w:tblCellMar>
          <w:left w:w="70" w:type="dxa"/>
          <w:right w:w="70" w:type="dxa"/>
        </w:tblCellMar>
        <w:tblLook w:val="0000" w:firstRow="0" w:lastRow="0" w:firstColumn="0" w:lastColumn="0" w:noHBand="0" w:noVBand="0"/>
      </w:tblPr>
      <w:tblGrid>
        <w:gridCol w:w="1063"/>
        <w:gridCol w:w="8147"/>
      </w:tblGrid>
      <w:tr w:rsidR="00BC0CF2" w:rsidRPr="00F8567E" w:rsidTr="00F021B9">
        <w:trPr>
          <w:cantSplit/>
        </w:trPr>
        <w:tc>
          <w:tcPr>
            <w:tcW w:w="9210" w:type="dxa"/>
            <w:gridSpan w:val="2"/>
          </w:tcPr>
          <w:p w:rsidR="00BC0CF2" w:rsidRPr="00F8567E" w:rsidRDefault="00BC0CF2" w:rsidP="00F021B9">
            <w:pPr>
              <w:pStyle w:val="Nagwek2"/>
              <w:tabs>
                <w:tab w:val="left" w:pos="0"/>
                <w:tab w:val="left" w:pos="851"/>
              </w:tabs>
              <w:spacing w:before="120"/>
              <w:ind w:left="11" w:firstLine="0"/>
            </w:pPr>
            <w:r w:rsidRPr="00F8567E">
              <w:t>F.1.</w:t>
            </w:r>
            <w:r w:rsidRPr="00F8567E">
              <w:tab/>
              <w:t>OGÓLNE ZASADY POWIADAMIANIA</w:t>
            </w:r>
          </w:p>
          <w:p w:rsidR="00BC0CF2" w:rsidRPr="00F8567E" w:rsidRDefault="00BC0CF2" w:rsidP="00F021B9">
            <w:pPr>
              <w:rPr>
                <w:color w:val="auto"/>
              </w:rPr>
            </w:pP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F.1.1.</w:t>
            </w:r>
          </w:p>
        </w:tc>
        <w:tc>
          <w:tcPr>
            <w:tcW w:w="8147" w:type="dxa"/>
          </w:tcPr>
          <w:p w:rsidR="00BC0CF2" w:rsidRDefault="00BC0CF2" w:rsidP="00F021B9">
            <w:pPr>
              <w:pStyle w:val="Tekstpodstawowy"/>
              <w:tabs>
                <w:tab w:val="clear" w:pos="4536"/>
                <w:tab w:val="clear" w:pos="9072"/>
              </w:tabs>
              <w:spacing w:line="240" w:lineRule="auto"/>
              <w:rPr>
                <w:color w:val="auto"/>
              </w:rPr>
            </w:pPr>
            <w:r w:rsidRPr="00F8567E">
              <w:rPr>
                <w:color w:val="auto"/>
              </w:rPr>
              <w:t>Sprzedawca</w:t>
            </w:r>
            <w:r>
              <w:rPr>
                <w:color w:val="auto"/>
              </w:rPr>
              <w:t>,</w:t>
            </w:r>
            <w:r w:rsidRPr="00F8567E">
              <w:rPr>
                <w:color w:val="auto"/>
              </w:rPr>
              <w:t xml:space="preserve"> jako jedna ze stron umowy sprzedaży, zgłasza do </w:t>
            </w:r>
            <w:r w:rsidR="00E45165">
              <w:t>OSD</w:t>
            </w:r>
            <w:r>
              <w:rPr>
                <w:color w:val="auto"/>
              </w:rPr>
              <w:t xml:space="preserve"> </w:t>
            </w:r>
            <w:r w:rsidRPr="00F8567E">
              <w:rPr>
                <w:color w:val="auto"/>
              </w:rPr>
              <w:t>w formie powiadomienia, w imieniu własnym i URD informacje o zawartej umowie sprzedaży energii elektrycznej</w:t>
            </w:r>
            <w:r w:rsidR="00C96FB7">
              <w:rPr>
                <w:color w:val="auto"/>
              </w:rPr>
              <w:t xml:space="preserve"> lub w umowie kompleksowej</w:t>
            </w:r>
            <w:r w:rsidRPr="00F8567E">
              <w:rPr>
                <w:color w:val="auto"/>
              </w:rPr>
              <w:t>.</w:t>
            </w:r>
          </w:p>
          <w:p w:rsidR="00BC0CF2" w:rsidRPr="00F8567E" w:rsidRDefault="00E45165" w:rsidP="005E0680">
            <w:pPr>
              <w:pStyle w:val="Tekstpodstawowy"/>
              <w:tabs>
                <w:tab w:val="clear" w:pos="4536"/>
                <w:tab w:val="clear" w:pos="9072"/>
              </w:tabs>
              <w:spacing w:line="240" w:lineRule="auto"/>
              <w:rPr>
                <w:color w:val="auto"/>
              </w:rPr>
            </w:pPr>
            <w:r>
              <w:t>OSD</w:t>
            </w:r>
            <w:r w:rsidR="00BC0CF2">
              <w:t xml:space="preserve"> </w:t>
            </w:r>
            <w:r w:rsidR="00BC0CF2" w:rsidRPr="00F8567E">
              <w:t>przyjmuje</w:t>
            </w:r>
            <w:r w:rsidR="00BC0CF2">
              <w:t xml:space="preserve"> powyższe powiadomienia o zawartych umowach sprzedaży </w:t>
            </w:r>
            <w:r w:rsidR="00C96FB7">
              <w:t xml:space="preserve">lub umowie kompleksowej </w:t>
            </w:r>
            <w:r w:rsidR="00BC0CF2">
              <w:t>poprzez dedykowany system informatyczny</w:t>
            </w:r>
            <w:r w:rsidR="00BC0CF2" w:rsidRPr="00055E16">
              <w:t xml:space="preserve"> </w:t>
            </w:r>
            <w:r>
              <w:t>OSD</w:t>
            </w:r>
            <w:r w:rsidR="00BC0CF2">
              <w:t xml:space="preserve"> </w:t>
            </w:r>
            <w:r w:rsidR="00BC0CF2" w:rsidRPr="00055E16">
              <w:t>umożliwiając</w:t>
            </w:r>
            <w:r w:rsidR="00BC0CF2">
              <w:t>y</w:t>
            </w:r>
            <w:r w:rsidR="00BC0CF2" w:rsidRPr="00055E16">
              <w:t xml:space="preserve"> wymianę informacji, danych i dokumentów</w:t>
            </w:r>
            <w:r w:rsidR="00BC0CF2">
              <w:t xml:space="preserve">. Do czasu wdrożenia systemu informatycznego </w:t>
            </w:r>
            <w:r>
              <w:t>OSD</w:t>
            </w:r>
            <w:r w:rsidR="00BC0CF2">
              <w:t xml:space="preserve"> będzie przyjmować powiadomienia w formie pisemnej</w:t>
            </w:r>
            <w:r w:rsidR="00C608A4">
              <w:t xml:space="preserve"> na formularzu </w:t>
            </w:r>
            <w:r w:rsidR="005E0680">
              <w:t xml:space="preserve">zamieszczonym na stronie internetowej </w:t>
            </w:r>
            <w:hyperlink r:id="rId18" w:history="1">
              <w:r w:rsidR="005E0680" w:rsidRPr="00E72179">
                <w:rPr>
                  <w:rStyle w:val="Hipercze"/>
                </w:rPr>
                <w:t>www.</w:t>
              </w:r>
              <w:r w:rsidR="009F37EA">
                <w:rPr>
                  <w:rStyle w:val="Hipercze"/>
                </w:rPr>
                <w:t>sodapolskaciech</w:t>
              </w:r>
              <w:r w:rsidR="005E0680" w:rsidRPr="00E72179">
                <w:rPr>
                  <w:rStyle w:val="Hipercze"/>
                </w:rPr>
                <w:t>.pl</w:t>
              </w:r>
            </w:hyperlink>
            <w:r w:rsidR="00BC0CF2">
              <w:t>.</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F.1.2.</w:t>
            </w:r>
          </w:p>
        </w:tc>
        <w:tc>
          <w:tcPr>
            <w:tcW w:w="8147" w:type="dxa"/>
          </w:tcPr>
          <w:p w:rsidR="00BC0CF2" w:rsidRPr="00F8567E" w:rsidRDefault="00E45165" w:rsidP="0094513F">
            <w:pPr>
              <w:pStyle w:val="styl0"/>
              <w:spacing w:before="120"/>
            </w:pPr>
            <w:r>
              <w:t>OSD</w:t>
            </w:r>
            <w:r w:rsidR="00BC0CF2">
              <w:t xml:space="preserve"> </w:t>
            </w:r>
            <w:r w:rsidR="00BC0CF2" w:rsidRPr="00F8567E">
              <w:t>przyjmuje powiadomienia</w:t>
            </w:r>
            <w:r w:rsidR="00BC0CF2">
              <w:t>,</w:t>
            </w:r>
            <w:r w:rsidR="00BC0CF2" w:rsidRPr="00F8567E">
              <w:t xml:space="preserve"> o których mowa w pkt. F.1.1.</w:t>
            </w:r>
            <w:r w:rsidR="00BC0CF2">
              <w:t>,</w:t>
            </w:r>
            <w:r w:rsidR="00BC0CF2" w:rsidRPr="00F8567E">
              <w:t xml:space="preserve"> </w:t>
            </w:r>
            <w:r w:rsidR="00BC0CF2">
              <w:t xml:space="preserve"> nie później niż na </w:t>
            </w:r>
            <w:r w:rsidR="00F14234">
              <w:t>21</w:t>
            </w:r>
            <w:r w:rsidR="00A842F6">
              <w:t xml:space="preserve"> </w:t>
            </w:r>
            <w:r w:rsidR="00BC0CF2">
              <w:t xml:space="preserve">dni </w:t>
            </w:r>
            <w:r w:rsidR="00BC0CF2" w:rsidRPr="00F8567E">
              <w:t xml:space="preserve">od </w:t>
            </w:r>
            <w:r w:rsidR="00BC0CF2">
              <w:t>dnia rozpoczęcia sprzedaży</w:t>
            </w:r>
            <w:r w:rsidR="00A842F6">
              <w:t xml:space="preserve"> </w:t>
            </w:r>
            <w:r w:rsidR="00F14234">
              <w:t xml:space="preserve"> przez nowego sprzedawcy.</w:t>
            </w:r>
            <w:r w:rsidR="00BC0CF2" w:rsidRPr="00F8567E">
              <w:t xml:space="preserve"> Powiadomienia dokonuje się na formularzu określonym przez </w:t>
            </w:r>
            <w:r>
              <w:t>OSD</w:t>
            </w:r>
            <w:r w:rsidR="00BC0CF2">
              <w:t xml:space="preserve">, </w:t>
            </w:r>
            <w:r w:rsidR="00BC0CF2" w:rsidRPr="00F8567E">
              <w:t>zgodnie z procedurą określoną w rozdziale</w:t>
            </w:r>
            <w:r w:rsidR="00BC0CF2">
              <w:t> </w:t>
            </w:r>
            <w:r w:rsidR="00BC0CF2" w:rsidRPr="00F8567E">
              <w:t xml:space="preserve">F. </w:t>
            </w:r>
            <w:r w:rsidR="00BC0CF2">
              <w:t>Przyjmowane powiadomienia dotyczą umów sprzedaży energii elektrycznej</w:t>
            </w:r>
            <w:r w:rsidR="0094513F">
              <w:t xml:space="preserve"> i umów kompleksowych</w:t>
            </w:r>
            <w:r w:rsidR="00BC0CF2">
              <w:t xml:space="preserve">, których realizacja ma się rozpocząć pierwszego dnia miesiąca. Otrzymane powiadomienia z terminami rozpoczęcia sprzedaży innymi niż pierwszy dzień miesiąca </w:t>
            </w:r>
            <w:r w:rsidR="00F14234">
              <w:t>będę podlegały poprawie przez Sprzedawcę na pierwszy dzień miesiąca</w:t>
            </w:r>
            <w:r w:rsidR="00C608A4">
              <w:t>, przy czym okres od dnia złożenia powiadomienia do wybranego pierwszego dnie miesiąca nie może być krótszy niż 21 dni</w:t>
            </w:r>
            <w:r w:rsidR="00F14234">
              <w:t xml:space="preserve">.  </w:t>
            </w:r>
            <w:r w:rsidR="00D955E1">
              <w:t xml:space="preserve">Otrzymane powiadomienia </w:t>
            </w:r>
            <w:r w:rsidR="00BC0CF2">
              <w:t xml:space="preserve">w terminach </w:t>
            </w:r>
            <w:r w:rsidR="00D955E1">
              <w:t xml:space="preserve">otrzymane później niż 21 dni od dnia rozpoczęcia sprzedaży </w:t>
            </w:r>
            <w:r w:rsidR="00BC0CF2">
              <w:t>będą weryfikowane negatywnie.</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F.1.3.</w:t>
            </w:r>
          </w:p>
        </w:tc>
        <w:tc>
          <w:tcPr>
            <w:tcW w:w="8147" w:type="dxa"/>
          </w:tcPr>
          <w:p w:rsidR="00BC0CF2" w:rsidRPr="00F8567E" w:rsidRDefault="00BC0CF2" w:rsidP="001C3BE5">
            <w:pPr>
              <w:pStyle w:val="styl0"/>
              <w:spacing w:before="120"/>
            </w:pPr>
            <w:r>
              <w:t>D</w:t>
            </w:r>
            <w:r w:rsidRPr="00F8567E">
              <w:t>o powiadomienia</w:t>
            </w:r>
            <w:r>
              <w:t>,</w:t>
            </w:r>
            <w:r w:rsidRPr="00F8567E">
              <w:t xml:space="preserve"> </w:t>
            </w:r>
            <w:r>
              <w:t>o którym mowa w pkt. F.1.2., należy dołączyć</w:t>
            </w:r>
            <w:r w:rsidRPr="00F8567E">
              <w:t xml:space="preserve"> pełnomocnictwo do reprezentowania URD przez Sprzedawcę</w:t>
            </w:r>
            <w:r>
              <w:t xml:space="preserve"> (</w:t>
            </w:r>
            <w:r w:rsidR="00E45165">
              <w:t>OSD</w:t>
            </w:r>
            <w:r>
              <w:t xml:space="preserve"> dopuszcza kopię pełnomocnictwa poświadczonego notarialnie za zgodność z oryginałem)</w:t>
            </w:r>
            <w:r w:rsidRPr="00F8567E">
              <w:t xml:space="preserve">. </w:t>
            </w:r>
            <w:r w:rsidRPr="00F8567E">
              <w:rPr>
                <w:szCs w:val="24"/>
              </w:rPr>
              <w:t>Aktualny wzór formularza, o którym mowa w pkt. F.1.2.</w:t>
            </w:r>
            <w:r>
              <w:rPr>
                <w:szCs w:val="24"/>
              </w:rPr>
              <w:t>,</w:t>
            </w:r>
            <w:r w:rsidRPr="00F8567E">
              <w:rPr>
                <w:szCs w:val="24"/>
              </w:rPr>
              <w:t xml:space="preserve"> obowiązujący na obszarze działania </w:t>
            </w:r>
            <w:r w:rsidR="00E45165">
              <w:t>OSD</w:t>
            </w:r>
            <w:r>
              <w:rPr>
                <w:szCs w:val="24"/>
              </w:rPr>
              <w:t xml:space="preserve"> </w:t>
            </w:r>
            <w:r w:rsidRPr="00F8567E">
              <w:rPr>
                <w:szCs w:val="24"/>
              </w:rPr>
              <w:t xml:space="preserve">jest publikowany na stronie internetowej </w:t>
            </w:r>
            <w:r w:rsidR="00E45165">
              <w:t>OSD</w:t>
            </w:r>
            <w:r>
              <w:t xml:space="preserve"> (</w:t>
            </w:r>
            <w:hyperlink r:id="rId19" w:history="1">
              <w:r w:rsidR="00A7724B">
                <w:rPr>
                  <w:rStyle w:val="Hipercze"/>
                </w:rPr>
                <w:t>www.</w:t>
              </w:r>
              <w:r w:rsidR="009F37EA">
                <w:rPr>
                  <w:rStyle w:val="Hipercze"/>
                </w:rPr>
                <w:t>sodapolskaciech</w:t>
              </w:r>
              <w:r w:rsidR="00A7724B">
                <w:rPr>
                  <w:rStyle w:val="Hipercze"/>
                </w:rPr>
                <w:t>.pl</w:t>
              </w:r>
            </w:hyperlink>
            <w:r>
              <w:t>)</w:t>
            </w:r>
            <w:r>
              <w:rPr>
                <w:szCs w:val="24"/>
              </w:rPr>
              <w:t xml:space="preserve"> </w:t>
            </w:r>
            <w:r w:rsidRPr="00F8567E">
              <w:rPr>
                <w:szCs w:val="24"/>
              </w:rPr>
              <w:t xml:space="preserve">oraz udostępniany na wniosek użytkowników systemu w siedzibie </w:t>
            </w:r>
            <w:r w:rsidR="00E45165">
              <w:t>OSD</w:t>
            </w:r>
            <w:r w:rsidRPr="00F8567E">
              <w:rPr>
                <w:szCs w:val="24"/>
              </w:rPr>
              <w:t xml:space="preserve">. </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F.1.4.</w:t>
            </w:r>
          </w:p>
        </w:tc>
        <w:tc>
          <w:tcPr>
            <w:tcW w:w="8147" w:type="dxa"/>
          </w:tcPr>
          <w:p w:rsidR="00BC0CF2" w:rsidRPr="00F8567E" w:rsidRDefault="00BC0CF2" w:rsidP="00F021B9">
            <w:pPr>
              <w:pStyle w:val="styl0"/>
              <w:spacing w:before="120"/>
            </w:pPr>
            <w:r w:rsidRPr="00F8567E">
              <w:t xml:space="preserve">Proces zmiany sprzedawcy, o którym mowa w rozdziale D, rozpoczyna się od momentu zakończenia przyjmowania przez </w:t>
            </w:r>
            <w:r w:rsidR="00E45165">
              <w:t>OSD</w:t>
            </w:r>
            <w:r>
              <w:t xml:space="preserve"> </w:t>
            </w:r>
            <w:r w:rsidRPr="00F8567E">
              <w:t xml:space="preserve">powiadomień, o których mowa w pkt. F.1.1., zgodnie z terminem o którym mowa w </w:t>
            </w:r>
            <w:r>
              <w:t xml:space="preserve">pkt. </w:t>
            </w:r>
            <w:r w:rsidRPr="00F8567E">
              <w:t>F.1.2.</w:t>
            </w:r>
          </w:p>
        </w:tc>
      </w:tr>
      <w:tr w:rsidR="00BC0CF2" w:rsidRPr="00F8567E" w:rsidTr="00F021B9">
        <w:tc>
          <w:tcPr>
            <w:tcW w:w="1063" w:type="dxa"/>
          </w:tcPr>
          <w:p w:rsidR="00BC0CF2" w:rsidRPr="00F8567E" w:rsidRDefault="00BC0CF2" w:rsidP="00C608A4">
            <w:pPr>
              <w:pStyle w:val="StylTcd"/>
              <w:keepLines w:val="0"/>
              <w:pageBreakBefore w:val="0"/>
              <w:spacing w:after="0"/>
              <w:jc w:val="left"/>
              <w:rPr>
                <w:color w:val="auto"/>
              </w:rPr>
            </w:pPr>
            <w:r w:rsidRPr="00F8567E">
              <w:rPr>
                <w:color w:val="auto"/>
              </w:rPr>
              <w:t>F.1.</w:t>
            </w:r>
            <w:r w:rsidR="00C608A4">
              <w:rPr>
                <w:color w:val="auto"/>
              </w:rPr>
              <w:t>5</w:t>
            </w:r>
            <w:r w:rsidRPr="00F8567E">
              <w:rPr>
                <w:color w:val="auto"/>
              </w:rPr>
              <w:t>.</w:t>
            </w:r>
          </w:p>
        </w:tc>
        <w:tc>
          <w:tcPr>
            <w:tcW w:w="8147" w:type="dxa"/>
          </w:tcPr>
          <w:p w:rsidR="00BC0CF2" w:rsidRPr="00F8567E" w:rsidRDefault="00BC0CF2" w:rsidP="00F021B9">
            <w:pPr>
              <w:pStyle w:val="styl0"/>
              <w:spacing w:before="120"/>
            </w:pPr>
            <w:r w:rsidRPr="00F8567E">
              <w:t xml:space="preserve">Strony umowy sprzedaży energii elektrycznej są zobowiązane do informowania </w:t>
            </w:r>
            <w:r w:rsidR="00E45165">
              <w:t>OSD</w:t>
            </w:r>
            <w:r>
              <w:t xml:space="preserve"> </w:t>
            </w:r>
            <w:r w:rsidRPr="00F8567E">
              <w:t>o zmianach dokonanych w ww. umowie</w:t>
            </w:r>
            <w:r>
              <w:t xml:space="preserve"> sprzedaży energii elektrycznej</w:t>
            </w:r>
            <w:r w:rsidRPr="00F8567E">
              <w:t xml:space="preserve">, w zakresie danych </w:t>
            </w:r>
            <w:r>
              <w:t xml:space="preserve">mających wpływ na realizacje tej umowy przez </w:t>
            </w:r>
            <w:r w:rsidR="00E45165">
              <w:t>OSD</w:t>
            </w:r>
            <w:r>
              <w:t xml:space="preserve"> </w:t>
            </w:r>
            <w:r w:rsidRPr="00F8567E">
              <w:rPr>
                <w:szCs w:val="24"/>
              </w:rPr>
              <w:t>z co najmniej 14-sto dniowym wyprzedzeniem.</w:t>
            </w:r>
          </w:p>
        </w:tc>
      </w:tr>
      <w:tr w:rsidR="00BC0CF2" w:rsidRPr="00F8567E" w:rsidTr="00F021B9">
        <w:tc>
          <w:tcPr>
            <w:tcW w:w="1063" w:type="dxa"/>
          </w:tcPr>
          <w:p w:rsidR="00BC0CF2" w:rsidRPr="00F8567E" w:rsidRDefault="00BC0CF2" w:rsidP="00F021B9">
            <w:pPr>
              <w:pStyle w:val="Nagwek2"/>
              <w:tabs>
                <w:tab w:val="left" w:pos="1080"/>
              </w:tabs>
              <w:spacing w:before="120"/>
              <w:ind w:left="1080" w:hanging="1069"/>
            </w:pPr>
            <w:r w:rsidRPr="00F8567E">
              <w:lastRenderedPageBreak/>
              <w:t>F.2.</w:t>
            </w:r>
            <w:r w:rsidRPr="00F8567E">
              <w:tab/>
              <w:t>WERYFIKACJA ZGŁOSZEŃ UMÓW SPRZEDAŻY ENERGII ELEKTRYCZNEJ</w:t>
            </w:r>
          </w:p>
          <w:p w:rsidR="00BC0CF2" w:rsidRPr="00F8567E" w:rsidRDefault="00BC0CF2" w:rsidP="00F021B9">
            <w:pPr>
              <w:rPr>
                <w:color w:val="auto"/>
              </w:rPr>
            </w:pPr>
          </w:p>
        </w:tc>
        <w:tc>
          <w:tcPr>
            <w:tcW w:w="8147" w:type="dxa"/>
          </w:tcPr>
          <w:p w:rsidR="00BC0CF2" w:rsidRPr="00F8567E" w:rsidRDefault="00BC0CF2" w:rsidP="00F021B9">
            <w:pPr>
              <w:pStyle w:val="Tekstpodstawowy"/>
              <w:tabs>
                <w:tab w:val="clear" w:pos="4536"/>
                <w:tab w:val="clear" w:pos="9072"/>
              </w:tabs>
              <w:spacing w:line="240" w:lineRule="auto"/>
              <w:rPr>
                <w:b/>
                <w:bCs/>
                <w:color w:val="auto"/>
              </w:rPr>
            </w:pPr>
            <w:r w:rsidRPr="00F8567E">
              <w:rPr>
                <w:b/>
                <w:bCs/>
                <w:color w:val="auto"/>
              </w:rPr>
              <w:t>WERYFIKACJA POWIADOMIEŃ</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F.2.1.</w:t>
            </w:r>
          </w:p>
        </w:tc>
        <w:tc>
          <w:tcPr>
            <w:tcW w:w="8147" w:type="dxa"/>
          </w:tcPr>
          <w:p w:rsidR="00BC0CF2" w:rsidRPr="00F8567E" w:rsidRDefault="00E45165" w:rsidP="001A5D4A">
            <w:pPr>
              <w:pStyle w:val="Stylwyliczanie"/>
              <w:tabs>
                <w:tab w:val="clear" w:pos="360"/>
              </w:tabs>
              <w:ind w:left="0" w:firstLine="0"/>
              <w:rPr>
                <w:color w:val="auto"/>
              </w:rPr>
            </w:pPr>
            <w:r>
              <w:t>OSD</w:t>
            </w:r>
            <w:r w:rsidR="00BC0CF2">
              <w:rPr>
                <w:color w:val="auto"/>
              </w:rPr>
              <w:t xml:space="preserve"> </w:t>
            </w:r>
            <w:r w:rsidR="00BC0CF2" w:rsidRPr="00F8567E">
              <w:rPr>
                <w:color w:val="auto"/>
              </w:rPr>
              <w:t xml:space="preserve">dokonuje weryfikacji otrzymanych powiadomień o zawartych umowach sprzedaży energii elektrycznej, pod względem ich kompletności i zgodności </w:t>
            </w:r>
            <w:r w:rsidR="00BC0CF2" w:rsidRPr="00F8567E">
              <w:t>z umowami</w:t>
            </w:r>
            <w:r w:rsidR="00BC0CF2">
              <w:t>,</w:t>
            </w:r>
            <w:r w:rsidR="00BC0CF2" w:rsidRPr="00F8567E">
              <w:t xml:space="preserve"> o których mowa w pkt. A.4.3.</w:t>
            </w:r>
            <w:r w:rsidR="001A5D4A">
              <w:t xml:space="preserve"> oraz</w:t>
            </w:r>
            <w:r w:rsidR="00BC0CF2" w:rsidRPr="00F8567E">
              <w:t xml:space="preserve"> </w:t>
            </w:r>
            <w:r w:rsidR="00BC0CF2" w:rsidRPr="00F8567E">
              <w:rPr>
                <w:color w:val="auto"/>
              </w:rPr>
              <w:t>w zakresie określonym w pkt.F.1.</w:t>
            </w:r>
            <w:r w:rsidR="00C608A4">
              <w:rPr>
                <w:color w:val="auto"/>
              </w:rPr>
              <w:t>2</w:t>
            </w:r>
            <w:r w:rsidR="00BC0CF2" w:rsidRPr="00F8567E">
              <w:rPr>
                <w:color w:val="auto"/>
              </w:rPr>
              <w:t xml:space="preserve">., w </w:t>
            </w:r>
            <w:r w:rsidR="00BC0CF2" w:rsidRPr="00F8567E">
              <w:t xml:space="preserve">terminie </w:t>
            </w:r>
            <w:r w:rsidR="00D43A60">
              <w:t>5 dni roboczych</w:t>
            </w:r>
            <w:r w:rsidR="00BC0CF2" w:rsidRPr="00F8567E">
              <w:t xml:space="preserve">  od </w:t>
            </w:r>
            <w:r w:rsidR="00BC0CF2">
              <w:t>otrzymania powiado</w:t>
            </w:r>
            <w:r w:rsidR="001A5D4A">
              <w:t>mień, o którym mowa w pkt. F.1.1</w:t>
            </w:r>
            <w:r w:rsidR="00BC0CF2" w:rsidRPr="00F8567E">
              <w:t>.</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F.2.2.</w:t>
            </w:r>
          </w:p>
        </w:tc>
        <w:tc>
          <w:tcPr>
            <w:tcW w:w="8147" w:type="dxa"/>
          </w:tcPr>
          <w:p w:rsidR="00BC0CF2" w:rsidRPr="00F8567E" w:rsidRDefault="0079649F" w:rsidP="00F021B9">
            <w:pPr>
              <w:pStyle w:val="Stylwyliczanie"/>
              <w:tabs>
                <w:tab w:val="clear" w:pos="360"/>
              </w:tabs>
              <w:ind w:left="0" w:firstLine="0"/>
              <w:rPr>
                <w:color w:val="auto"/>
              </w:rPr>
            </w:pPr>
            <w:r>
              <w:t xml:space="preserve">Jeżeli powiadomienie, o których mowa w pkt. F1.1. zawiera braki formalne, </w:t>
            </w:r>
            <w:r w:rsidR="00E45165">
              <w:t>OSD</w:t>
            </w:r>
            <w:r>
              <w:t xml:space="preserve"> informuje niezwłocznie o tym fakcie podmiot, który złożył te powiadomienie, jednak w terminie nie dłuższym niż 5 dni robocze od dnia otrzymania tego powiadomienia, wykazując wszystkie braki i informując o konieczności ich uzupełnienia.</w:t>
            </w:r>
          </w:p>
        </w:tc>
      </w:tr>
      <w:tr w:rsidR="00BC0CF2" w:rsidRPr="00F8567E" w:rsidTr="00F021B9">
        <w:tc>
          <w:tcPr>
            <w:tcW w:w="1063" w:type="dxa"/>
          </w:tcPr>
          <w:p w:rsidR="00BC0CF2" w:rsidRPr="00F8567E" w:rsidRDefault="00BC0CF2" w:rsidP="00F021B9">
            <w:pPr>
              <w:pStyle w:val="StylTcd"/>
              <w:keepLines w:val="0"/>
              <w:pageBreakBefore w:val="0"/>
              <w:spacing w:after="0"/>
              <w:jc w:val="left"/>
              <w:rPr>
                <w:color w:val="auto"/>
              </w:rPr>
            </w:pPr>
            <w:r w:rsidRPr="00F8567E">
              <w:rPr>
                <w:color w:val="auto"/>
              </w:rPr>
              <w:t>F.2.3.</w:t>
            </w:r>
          </w:p>
        </w:tc>
        <w:tc>
          <w:tcPr>
            <w:tcW w:w="8147" w:type="dxa"/>
          </w:tcPr>
          <w:p w:rsidR="00BC0CF2" w:rsidRPr="00F8567E" w:rsidRDefault="0079649F" w:rsidP="00F021B9">
            <w:pPr>
              <w:pStyle w:val="Stylwyliczanie"/>
              <w:tabs>
                <w:tab w:val="clear" w:pos="360"/>
              </w:tabs>
              <w:ind w:left="0" w:firstLine="0"/>
              <w:rPr>
                <w:color w:val="auto"/>
              </w:rPr>
            </w:pPr>
            <w:r>
              <w:rPr>
                <w:color w:val="auto"/>
              </w:rPr>
              <w:t xml:space="preserve">Jeżeli braki formalne, o których mowa w pkt. F.2.2. nie zostaną uzupełnione w terminie nie dłuższym niż 5 dni roboczych, </w:t>
            </w:r>
            <w:r w:rsidR="00E45165">
              <w:rPr>
                <w:color w:val="auto"/>
              </w:rPr>
              <w:t>OSD</w:t>
            </w:r>
            <w:r>
              <w:rPr>
                <w:color w:val="auto"/>
              </w:rPr>
              <w:t xml:space="preserve"> przerywa proces zmiany sprzedawcy, informując o tym podmiot, który przedłożył powiadomienie, dotychczasowego sprzedawcę</w:t>
            </w:r>
            <w:r w:rsidR="002F2B38">
              <w:rPr>
                <w:color w:val="auto"/>
              </w:rPr>
              <w:t xml:space="preserve">  (jeśli świadczył usługę kompleksową), sprzedawcę rezerwowego albo sprzedawcę z urzędu oraz odbiorcę końcowego.</w:t>
            </w:r>
          </w:p>
        </w:tc>
      </w:tr>
      <w:tr w:rsidR="0094513F" w:rsidRPr="00F8567E" w:rsidTr="00F021B9">
        <w:tc>
          <w:tcPr>
            <w:tcW w:w="1063" w:type="dxa"/>
          </w:tcPr>
          <w:p w:rsidR="0094513F" w:rsidRPr="00F8567E" w:rsidRDefault="0094513F" w:rsidP="00F021B9">
            <w:pPr>
              <w:pStyle w:val="StylTcd"/>
              <w:keepLines w:val="0"/>
              <w:pageBreakBefore w:val="0"/>
              <w:spacing w:after="0"/>
              <w:jc w:val="left"/>
              <w:rPr>
                <w:color w:val="auto"/>
              </w:rPr>
            </w:pPr>
            <w:r>
              <w:rPr>
                <w:color w:val="auto"/>
              </w:rPr>
              <w:t>F.2.4.</w:t>
            </w:r>
          </w:p>
        </w:tc>
        <w:tc>
          <w:tcPr>
            <w:tcW w:w="8147" w:type="dxa"/>
          </w:tcPr>
          <w:p w:rsidR="0094513F" w:rsidRDefault="0094513F" w:rsidP="0094513F">
            <w:pPr>
              <w:pStyle w:val="Stylwyliczanie"/>
              <w:tabs>
                <w:tab w:val="clear" w:pos="360"/>
                <w:tab w:val="left" w:pos="71"/>
              </w:tabs>
              <w:ind w:left="71" w:firstLine="0"/>
              <w:rPr>
                <w:color w:val="auto"/>
              </w:rPr>
            </w:pPr>
            <w:r w:rsidRPr="0094513F">
              <w:rPr>
                <w:color w:val="auto"/>
              </w:rPr>
              <w:t>Ponowne rozpatrzenie powiadomienia, w przypadku weryfikacji negatywnej,</w:t>
            </w:r>
            <w:r>
              <w:rPr>
                <w:color w:val="auto"/>
              </w:rPr>
              <w:t xml:space="preserve"> </w:t>
            </w:r>
            <w:r w:rsidRPr="0094513F">
              <w:rPr>
                <w:color w:val="auto"/>
              </w:rPr>
              <w:t>o której mow</w:t>
            </w:r>
            <w:r>
              <w:rPr>
                <w:color w:val="auto"/>
              </w:rPr>
              <w:t>a w pkt. D.3</w:t>
            </w:r>
            <w:r w:rsidRPr="0094513F">
              <w:rPr>
                <w:color w:val="auto"/>
              </w:rPr>
              <w:t>.</w:t>
            </w:r>
            <w:r>
              <w:rPr>
                <w:color w:val="auto"/>
              </w:rPr>
              <w:t>9</w:t>
            </w:r>
            <w:r w:rsidRPr="0094513F">
              <w:rPr>
                <w:color w:val="auto"/>
              </w:rPr>
              <w:t>., wymaga zgłoszenia umowy zgodnie</w:t>
            </w:r>
            <w:r>
              <w:rPr>
                <w:color w:val="auto"/>
              </w:rPr>
              <w:t xml:space="preserve"> </w:t>
            </w:r>
            <w:r w:rsidRPr="0094513F">
              <w:rPr>
                <w:color w:val="auto"/>
              </w:rPr>
              <w:t>z pkt. F.1.1.</w:t>
            </w:r>
          </w:p>
        </w:tc>
      </w:tr>
      <w:tr w:rsidR="002F2B38" w:rsidRPr="00F8567E" w:rsidTr="00F021B9">
        <w:tc>
          <w:tcPr>
            <w:tcW w:w="1063" w:type="dxa"/>
          </w:tcPr>
          <w:p w:rsidR="002F2B38" w:rsidRPr="00F8567E" w:rsidRDefault="0094513F" w:rsidP="00F021B9">
            <w:pPr>
              <w:pStyle w:val="StylTcd"/>
              <w:keepLines w:val="0"/>
              <w:pageBreakBefore w:val="0"/>
              <w:spacing w:after="0"/>
              <w:jc w:val="left"/>
              <w:rPr>
                <w:color w:val="auto"/>
              </w:rPr>
            </w:pPr>
            <w:r>
              <w:rPr>
                <w:color w:val="auto"/>
              </w:rPr>
              <w:t>F.2.5</w:t>
            </w:r>
            <w:r w:rsidR="002F2B38">
              <w:rPr>
                <w:color w:val="auto"/>
              </w:rPr>
              <w:t>.</w:t>
            </w:r>
          </w:p>
        </w:tc>
        <w:tc>
          <w:tcPr>
            <w:tcW w:w="8147" w:type="dxa"/>
          </w:tcPr>
          <w:p w:rsidR="002F2B38" w:rsidRDefault="002F2B38" w:rsidP="00F021B9">
            <w:pPr>
              <w:pStyle w:val="Stylwyliczanie"/>
              <w:tabs>
                <w:tab w:val="clear" w:pos="360"/>
              </w:tabs>
              <w:ind w:left="0" w:firstLine="0"/>
              <w:rPr>
                <w:color w:val="auto"/>
              </w:rPr>
            </w:pPr>
            <w:r>
              <w:rPr>
                <w:color w:val="auto"/>
              </w:rPr>
              <w:t xml:space="preserve">Jeżeli powiadomienie, o którym mowa w pkt. F.1.1. nie zawiera braków formalnych, </w:t>
            </w:r>
            <w:r w:rsidR="00E45165">
              <w:rPr>
                <w:color w:val="auto"/>
              </w:rPr>
              <w:t>OSD</w:t>
            </w:r>
            <w:r>
              <w:rPr>
                <w:color w:val="auto"/>
              </w:rPr>
              <w:t xml:space="preserve"> w terminie nie dłuższym niż 5 dni roboczych, od dnia otrzymania tego powiadomienia informuje o przyjęciu zgłoszenia przedkładającego powiadomienie.</w:t>
            </w:r>
          </w:p>
        </w:tc>
      </w:tr>
      <w:tr w:rsidR="00BC0CF2" w:rsidRPr="00F8567E" w:rsidTr="00F021B9">
        <w:tc>
          <w:tcPr>
            <w:tcW w:w="1063" w:type="dxa"/>
          </w:tcPr>
          <w:p w:rsidR="00BC0CF2" w:rsidRPr="00F8567E" w:rsidRDefault="0094513F" w:rsidP="00F021B9">
            <w:pPr>
              <w:pStyle w:val="StylTcd"/>
              <w:keepLines w:val="0"/>
              <w:pageBreakBefore w:val="0"/>
              <w:spacing w:after="0"/>
              <w:jc w:val="left"/>
              <w:rPr>
                <w:color w:val="auto"/>
              </w:rPr>
            </w:pPr>
            <w:r>
              <w:rPr>
                <w:color w:val="auto"/>
              </w:rPr>
              <w:t>F.2.6</w:t>
            </w:r>
            <w:r w:rsidR="00BC0CF2" w:rsidRPr="00F8567E">
              <w:rPr>
                <w:color w:val="auto"/>
              </w:rPr>
              <w:t>.</w:t>
            </w:r>
          </w:p>
        </w:tc>
        <w:tc>
          <w:tcPr>
            <w:tcW w:w="8147" w:type="dxa"/>
          </w:tcPr>
          <w:p w:rsidR="00BC0CF2" w:rsidRPr="00F8567E" w:rsidRDefault="00FF1ED7" w:rsidP="00FF1ED7">
            <w:pPr>
              <w:pStyle w:val="Stylwyliczanie"/>
              <w:tabs>
                <w:tab w:val="clear" w:pos="360"/>
              </w:tabs>
              <w:ind w:left="0" w:firstLine="0"/>
              <w:rPr>
                <w:color w:val="auto"/>
              </w:rPr>
            </w:pPr>
            <w:r>
              <w:rPr>
                <w:color w:val="auto"/>
              </w:rPr>
              <w:t xml:space="preserve">Jeżeli powiadomienie, o którym mowa w pkt. F.1.1. nie zawiera braków formalnych, </w:t>
            </w:r>
            <w:r w:rsidR="00E45165">
              <w:rPr>
                <w:color w:val="auto"/>
              </w:rPr>
              <w:t>OSD</w:t>
            </w:r>
            <w:r w:rsidR="00BC0CF2">
              <w:rPr>
                <w:color w:val="auto"/>
              </w:rPr>
              <w:t xml:space="preserve"> </w:t>
            </w:r>
            <w:r w:rsidR="00BC0CF2" w:rsidRPr="00F8567E">
              <w:rPr>
                <w:color w:val="auto"/>
              </w:rPr>
              <w:t>przystępuje do konfiguracji Punktów Dostarczania Energii (PDE) należących do URD oraz do MDD</w:t>
            </w:r>
            <w:r w:rsidR="00BC0CF2" w:rsidRPr="00F8567E">
              <w:rPr>
                <w:color w:val="auto"/>
                <w:vertAlign w:val="subscript"/>
              </w:rPr>
              <w:t xml:space="preserve"> </w:t>
            </w:r>
            <w:r w:rsidR="00BC0CF2" w:rsidRPr="00F8567E">
              <w:rPr>
                <w:color w:val="auto"/>
              </w:rPr>
              <w:t>wchodzących w skład MB przyporządkowanego POB.</w:t>
            </w:r>
          </w:p>
        </w:tc>
      </w:tr>
      <w:bookmarkEnd w:id="14"/>
      <w:bookmarkEnd w:id="15"/>
    </w:tbl>
    <w:p w:rsidR="00BC0CF2" w:rsidRPr="00F8567E" w:rsidRDefault="00BC0CF2" w:rsidP="00BC0CF2">
      <w:pPr>
        <w:ind w:firstLine="0"/>
      </w:pPr>
    </w:p>
    <w:p w:rsidR="00BC0CF2" w:rsidRPr="00F8567E" w:rsidRDefault="00BC0CF2" w:rsidP="00BC0CF2">
      <w:pPr>
        <w:pStyle w:val="Nagwek1"/>
        <w:tabs>
          <w:tab w:val="left" w:pos="567"/>
        </w:tabs>
        <w:ind w:left="567" w:hanging="567"/>
      </w:pPr>
      <w:r w:rsidRPr="00F8567E">
        <w:br w:type="page"/>
      </w:r>
      <w:bookmarkStart w:id="19" w:name="_Toc375295766"/>
      <w:r w:rsidRPr="00F8567E">
        <w:lastRenderedPageBreak/>
        <w:t>G.</w:t>
      </w:r>
      <w:r w:rsidRPr="00F8567E">
        <w:tab/>
      </w:r>
      <w:r w:rsidRPr="00F8567E">
        <w:tab/>
      </w:r>
      <w:r w:rsidRPr="00F8567E">
        <w:rPr>
          <w:color w:val="000000"/>
        </w:rPr>
        <w:t xml:space="preserve">ZASADY WYZNACZANIA, PRZYDZIELANIA I WERYFIKACJI STANDARDOWYCH </w:t>
      </w:r>
      <w:r w:rsidRPr="00F8567E">
        <w:t>PROFILI</w:t>
      </w:r>
      <w:bookmarkEnd w:id="16"/>
      <w:bookmarkEnd w:id="17"/>
      <w:r w:rsidRPr="00F8567E">
        <w:t xml:space="preserve"> ZUŻYCIA</w:t>
      </w:r>
      <w:bookmarkEnd w:id="19"/>
    </w:p>
    <w:p w:rsidR="00BC0CF2" w:rsidRPr="00D43A60" w:rsidRDefault="00BC0CF2" w:rsidP="00BC0CF2">
      <w:pPr>
        <w:pStyle w:val="styl0"/>
      </w:pPr>
    </w:p>
    <w:tbl>
      <w:tblPr>
        <w:tblW w:w="0" w:type="auto"/>
        <w:tblInd w:w="-72" w:type="dxa"/>
        <w:tblLayout w:type="fixed"/>
        <w:tblCellMar>
          <w:left w:w="70" w:type="dxa"/>
          <w:right w:w="70" w:type="dxa"/>
        </w:tblCellMar>
        <w:tblLook w:val="0000" w:firstRow="0" w:lastRow="0" w:firstColumn="0" w:lastColumn="0" w:noHBand="0" w:noVBand="0"/>
      </w:tblPr>
      <w:tblGrid>
        <w:gridCol w:w="993"/>
        <w:gridCol w:w="8289"/>
      </w:tblGrid>
      <w:tr w:rsidR="0094513F" w:rsidRPr="00806398" w:rsidTr="003156B9">
        <w:tc>
          <w:tcPr>
            <w:tcW w:w="993" w:type="dxa"/>
          </w:tcPr>
          <w:p w:rsidR="0094513F" w:rsidRPr="00806398" w:rsidRDefault="0094513F" w:rsidP="003156B9">
            <w:pPr>
              <w:pStyle w:val="StylTcd"/>
              <w:keepLines w:val="0"/>
              <w:pageBreakBefore w:val="0"/>
              <w:spacing w:after="0"/>
              <w:jc w:val="left"/>
            </w:pPr>
            <w:r w:rsidRPr="00806398">
              <w:t>G.1.</w:t>
            </w:r>
          </w:p>
        </w:tc>
        <w:tc>
          <w:tcPr>
            <w:tcW w:w="8289" w:type="dxa"/>
          </w:tcPr>
          <w:p w:rsidR="0094513F" w:rsidRPr="00806398" w:rsidRDefault="0094513F" w:rsidP="000F6B32">
            <w:pPr>
              <w:pStyle w:val="Tekstpodstawowy"/>
              <w:tabs>
                <w:tab w:val="clear" w:pos="4536"/>
                <w:tab w:val="clear" w:pos="9072"/>
              </w:tabs>
              <w:spacing w:line="240" w:lineRule="auto"/>
              <w:rPr>
                <w:color w:val="auto"/>
              </w:rPr>
            </w:pPr>
            <w:r w:rsidRPr="00806398">
              <w:t>OSD</w:t>
            </w:r>
            <w:r w:rsidRPr="00806398">
              <w:rPr>
                <w:color w:val="auto"/>
              </w:rPr>
              <w:t xml:space="preserve"> określa standardowe profile zużycia (profile) na podstawie pomierzonych zmienności obciążeń dobowych odbiorców kontrolnych objętych pomiarami zmienności obciążenia, wytypowanych przez </w:t>
            </w:r>
            <w:r w:rsidRPr="00806398">
              <w:t>OSD</w:t>
            </w:r>
            <w:r w:rsidRPr="00806398">
              <w:rPr>
                <w:color w:val="auto"/>
              </w:rPr>
              <w:t xml:space="preserve"> spośród odbiorców przyłączonych do sieci dystrybucyjnej o mocy umownej nie większej niż 40 kW, przy zastosowaniu technik statystyki matematycznej. Profile te są określone </w:t>
            </w:r>
            <w:r w:rsidRPr="00806398">
              <w:rPr>
                <w:color w:val="auto"/>
              </w:rPr>
              <w:br/>
              <w:t xml:space="preserve">w Załączniku nr </w:t>
            </w:r>
            <w:r w:rsidR="005E0680">
              <w:rPr>
                <w:color w:val="auto"/>
              </w:rPr>
              <w:t>3</w:t>
            </w:r>
            <w:r w:rsidRPr="00806398">
              <w:rPr>
                <w:color w:val="auto"/>
              </w:rPr>
              <w:t>.</w:t>
            </w:r>
          </w:p>
        </w:tc>
      </w:tr>
      <w:tr w:rsidR="0094513F" w:rsidRPr="00806398" w:rsidTr="003156B9">
        <w:tc>
          <w:tcPr>
            <w:tcW w:w="993" w:type="dxa"/>
          </w:tcPr>
          <w:p w:rsidR="0094513F" w:rsidRPr="00806398" w:rsidRDefault="0094513F" w:rsidP="003156B9">
            <w:pPr>
              <w:pStyle w:val="StylTcd"/>
              <w:keepLines w:val="0"/>
              <w:pageBreakBefore w:val="0"/>
              <w:spacing w:after="0"/>
              <w:jc w:val="left"/>
            </w:pPr>
            <w:r w:rsidRPr="00806398">
              <w:t>G.2.</w:t>
            </w:r>
          </w:p>
        </w:tc>
        <w:tc>
          <w:tcPr>
            <w:tcW w:w="8289" w:type="dxa"/>
          </w:tcPr>
          <w:p w:rsidR="0094513F" w:rsidRPr="00806398" w:rsidRDefault="0094513F" w:rsidP="003156B9">
            <w:pPr>
              <w:pStyle w:val="Tekstpodstawowy"/>
              <w:tabs>
                <w:tab w:val="clear" w:pos="4536"/>
                <w:tab w:val="clear" w:pos="9072"/>
              </w:tabs>
              <w:spacing w:line="240" w:lineRule="auto"/>
            </w:pPr>
            <w:r w:rsidRPr="00806398">
              <w:t>Dla odbiorców, o których mowa w pkt. G.1., którzy chcą skorzystać z prawa wyboru sprzedawcy, OSD na podstawie:</w:t>
            </w:r>
          </w:p>
          <w:p w:rsidR="0094513F" w:rsidRPr="00806398" w:rsidRDefault="0094513F" w:rsidP="006824F9">
            <w:pPr>
              <w:pStyle w:val="Tekstpodstawowy"/>
              <w:numPr>
                <w:ilvl w:val="0"/>
                <w:numId w:val="40"/>
              </w:numPr>
              <w:tabs>
                <w:tab w:val="clear" w:pos="4536"/>
                <w:tab w:val="clear" w:pos="9072"/>
              </w:tabs>
              <w:spacing w:line="240" w:lineRule="auto"/>
            </w:pPr>
            <w:r w:rsidRPr="00806398">
              <w:t>parametrów technicznych przyłącza,</w:t>
            </w:r>
          </w:p>
          <w:p w:rsidR="0094513F" w:rsidRPr="00806398" w:rsidRDefault="0094513F" w:rsidP="006824F9">
            <w:pPr>
              <w:pStyle w:val="Tekstpodstawowy"/>
              <w:numPr>
                <w:ilvl w:val="0"/>
                <w:numId w:val="40"/>
              </w:numPr>
              <w:tabs>
                <w:tab w:val="clear" w:pos="4536"/>
                <w:tab w:val="clear" w:pos="9072"/>
              </w:tabs>
              <w:spacing w:line="240" w:lineRule="auto"/>
            </w:pPr>
            <w:r w:rsidRPr="00806398">
              <w:t>grupy taryfowej określonej w umowie dystrybucji,</w:t>
            </w:r>
          </w:p>
          <w:p w:rsidR="0094513F" w:rsidRPr="00806398" w:rsidRDefault="0094513F" w:rsidP="006824F9">
            <w:pPr>
              <w:pStyle w:val="Tekstpodstawowy"/>
              <w:numPr>
                <w:ilvl w:val="0"/>
                <w:numId w:val="40"/>
              </w:numPr>
              <w:tabs>
                <w:tab w:val="clear" w:pos="4536"/>
                <w:tab w:val="clear" w:pos="9072"/>
              </w:tabs>
              <w:spacing w:line="240" w:lineRule="auto"/>
            </w:pPr>
            <w:r w:rsidRPr="00806398">
              <w:t>historycznego lub przewidywanego rocznego zużycia energii elektrycznej,</w:t>
            </w:r>
          </w:p>
          <w:p w:rsidR="0094513F" w:rsidRPr="00806398" w:rsidRDefault="0094513F" w:rsidP="003156B9">
            <w:pPr>
              <w:pStyle w:val="Tekstpodstawowy"/>
              <w:tabs>
                <w:tab w:val="clear" w:pos="4536"/>
                <w:tab w:val="clear" w:pos="9072"/>
              </w:tabs>
              <w:spacing w:line="240" w:lineRule="auto"/>
            </w:pPr>
            <w:r w:rsidRPr="00806398">
              <w:t xml:space="preserve">przydziela odpowiedni profil i </w:t>
            </w:r>
            <w:r w:rsidRPr="00806398">
              <w:rPr>
                <w:color w:val="auto"/>
              </w:rPr>
              <w:t>planowaną ilość poboru energii na rok kalendarzowy.</w:t>
            </w:r>
          </w:p>
        </w:tc>
      </w:tr>
      <w:tr w:rsidR="0094513F" w:rsidRPr="00806398" w:rsidTr="003156B9">
        <w:tc>
          <w:tcPr>
            <w:tcW w:w="993" w:type="dxa"/>
          </w:tcPr>
          <w:p w:rsidR="0094513F" w:rsidRPr="00806398" w:rsidRDefault="0094513F" w:rsidP="003156B9">
            <w:pPr>
              <w:pStyle w:val="StylTcd"/>
              <w:keepLines w:val="0"/>
              <w:pageBreakBefore w:val="0"/>
              <w:spacing w:after="0"/>
              <w:jc w:val="left"/>
            </w:pPr>
            <w:r w:rsidRPr="00806398">
              <w:t>G.3.</w:t>
            </w:r>
          </w:p>
        </w:tc>
        <w:tc>
          <w:tcPr>
            <w:tcW w:w="8289" w:type="dxa"/>
          </w:tcPr>
          <w:p w:rsidR="0094513F" w:rsidRPr="00806398" w:rsidRDefault="0094513F" w:rsidP="003156B9">
            <w:pPr>
              <w:pStyle w:val="Tekstpodstawowy"/>
              <w:tabs>
                <w:tab w:val="clear" w:pos="4536"/>
                <w:tab w:val="clear" w:pos="9072"/>
              </w:tabs>
              <w:spacing w:line="240" w:lineRule="auto"/>
            </w:pPr>
            <w:r w:rsidRPr="00806398">
              <w:t>W przypadku zmiany parametrów, o których mowa w pkt. G.2. odbiorca jest zobowiązany do powiadomienia OSD. W takim przypadku OSD dokonuje weryfikacji przydzielonego profilu oraz planowanej ilość poboru energii elektrycznej.</w:t>
            </w:r>
          </w:p>
        </w:tc>
      </w:tr>
    </w:tbl>
    <w:p w:rsidR="004E6E8E" w:rsidRDefault="004E6E8E" w:rsidP="0060551F">
      <w:pPr>
        <w:pStyle w:val="styl0"/>
        <w:tabs>
          <w:tab w:val="left" w:pos="426"/>
        </w:tabs>
        <w:rPr>
          <w:b/>
          <w:sz w:val="26"/>
          <w:szCs w:val="26"/>
        </w:rPr>
      </w:pPr>
    </w:p>
    <w:p w:rsidR="004E6E8E" w:rsidRDefault="004E6E8E" w:rsidP="0060551F">
      <w:pPr>
        <w:pStyle w:val="styl0"/>
        <w:tabs>
          <w:tab w:val="left" w:pos="426"/>
        </w:tabs>
        <w:rPr>
          <w:b/>
          <w:sz w:val="26"/>
          <w:szCs w:val="26"/>
        </w:rPr>
      </w:pPr>
    </w:p>
    <w:p w:rsidR="004E6E8E" w:rsidRDefault="004E6E8E"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D7098B" w:rsidRDefault="00D7098B" w:rsidP="0060551F">
      <w:pPr>
        <w:pStyle w:val="styl0"/>
        <w:tabs>
          <w:tab w:val="left" w:pos="426"/>
        </w:tabs>
        <w:rPr>
          <w:b/>
          <w:sz w:val="26"/>
          <w:szCs w:val="26"/>
        </w:rPr>
      </w:pPr>
    </w:p>
    <w:p w:rsidR="007B4B40" w:rsidRPr="00F8567E" w:rsidRDefault="0060551F" w:rsidP="007B4B40">
      <w:pPr>
        <w:pStyle w:val="styl0"/>
        <w:tabs>
          <w:tab w:val="left" w:pos="567"/>
        </w:tabs>
        <w:rPr>
          <w:b/>
          <w:sz w:val="26"/>
          <w:szCs w:val="26"/>
        </w:rPr>
      </w:pPr>
      <w:r w:rsidRPr="00D37BBC">
        <w:rPr>
          <w:b/>
          <w:sz w:val="26"/>
          <w:szCs w:val="26"/>
        </w:rPr>
        <w:t>I.</w:t>
      </w:r>
      <w:r w:rsidR="007B4B40">
        <w:rPr>
          <w:b/>
          <w:sz w:val="26"/>
          <w:szCs w:val="26"/>
        </w:rPr>
        <w:t xml:space="preserve"> </w:t>
      </w:r>
      <w:r w:rsidR="007B4B40" w:rsidRPr="00F8567E">
        <w:rPr>
          <w:b/>
          <w:sz w:val="26"/>
          <w:szCs w:val="26"/>
        </w:rPr>
        <w:t>ZARZĄDZANIE OGRANICZENIAMI SYSTEMOWYMI</w:t>
      </w:r>
    </w:p>
    <w:p w:rsidR="007B4B40" w:rsidRPr="00F8567E" w:rsidRDefault="007B4B40" w:rsidP="007B4B40">
      <w:pPr>
        <w:pStyle w:val="styl0"/>
      </w:pPr>
    </w:p>
    <w:p w:rsidR="007B4B40" w:rsidRPr="00F8567E" w:rsidRDefault="007B4B40" w:rsidP="007B4B40">
      <w:pPr>
        <w:pStyle w:val="styl0"/>
      </w:pPr>
    </w:p>
    <w:tbl>
      <w:tblPr>
        <w:tblW w:w="0" w:type="auto"/>
        <w:tblInd w:w="-72" w:type="dxa"/>
        <w:tblLayout w:type="fixed"/>
        <w:tblCellMar>
          <w:left w:w="70" w:type="dxa"/>
          <w:right w:w="70" w:type="dxa"/>
        </w:tblCellMar>
        <w:tblLook w:val="0000" w:firstRow="0" w:lastRow="0" w:firstColumn="0" w:lastColumn="0" w:noHBand="0" w:noVBand="0"/>
      </w:tblPr>
      <w:tblGrid>
        <w:gridCol w:w="993"/>
        <w:gridCol w:w="8289"/>
      </w:tblGrid>
      <w:tr w:rsidR="007B4B40" w:rsidRPr="00F8567E" w:rsidTr="0060541D">
        <w:tc>
          <w:tcPr>
            <w:tcW w:w="993" w:type="dxa"/>
          </w:tcPr>
          <w:p w:rsidR="007B4B40" w:rsidRPr="00F8567E" w:rsidRDefault="007B4B40" w:rsidP="0060541D">
            <w:pPr>
              <w:pStyle w:val="StylTcd"/>
              <w:keepLines w:val="0"/>
              <w:pageBreakBefore w:val="0"/>
              <w:spacing w:after="0"/>
              <w:jc w:val="left"/>
            </w:pPr>
            <w:r w:rsidRPr="00F8567E">
              <w:t>I.1.</w:t>
            </w:r>
          </w:p>
        </w:tc>
        <w:tc>
          <w:tcPr>
            <w:tcW w:w="8289" w:type="dxa"/>
          </w:tcPr>
          <w:p w:rsidR="007B4B40" w:rsidRPr="00F8567E" w:rsidRDefault="00E45165" w:rsidP="0060541D">
            <w:pPr>
              <w:tabs>
                <w:tab w:val="clear" w:pos="4536"/>
                <w:tab w:val="clear" w:pos="9072"/>
              </w:tabs>
              <w:autoSpaceDE w:val="0"/>
              <w:autoSpaceDN w:val="0"/>
              <w:adjustRightInd w:val="0"/>
              <w:ind w:firstLine="0"/>
              <w:rPr>
                <w:color w:val="auto"/>
                <w:sz w:val="20"/>
              </w:rPr>
            </w:pPr>
            <w:r>
              <w:t>OSD</w:t>
            </w:r>
            <w:r w:rsidR="007B4B40">
              <w:rPr>
                <w:color w:val="auto"/>
                <w:szCs w:val="24"/>
              </w:rPr>
              <w:t xml:space="preserve"> </w:t>
            </w:r>
            <w:r w:rsidR="007B4B40" w:rsidRPr="00F8567E">
              <w:rPr>
                <w:color w:val="auto"/>
                <w:szCs w:val="24"/>
              </w:rPr>
              <w:t>identyfikuje ograniczenia systemowe ze względu na spełnienie wymagań niezawodności dostaw energii elektrycznej</w:t>
            </w:r>
            <w:r w:rsidR="007B4B40">
              <w:rPr>
                <w:color w:val="auto"/>
                <w:szCs w:val="24"/>
              </w:rPr>
              <w:t xml:space="preserve"> zgodnie z zapisami instrukcji ruchu i eksploatacji sieci dystrybucyjnych </w:t>
            </w:r>
            <w:proofErr w:type="spellStart"/>
            <w:r w:rsidR="007B4B40">
              <w:rPr>
                <w:color w:val="auto"/>
                <w:szCs w:val="24"/>
              </w:rPr>
              <w:t>OSDp</w:t>
            </w:r>
            <w:proofErr w:type="spellEnd"/>
            <w:r w:rsidR="007B4B40" w:rsidRPr="00F8567E">
              <w:t>.</w:t>
            </w:r>
          </w:p>
        </w:tc>
      </w:tr>
      <w:tr w:rsidR="007B4B40" w:rsidRPr="00F8567E" w:rsidTr="0060541D">
        <w:tc>
          <w:tcPr>
            <w:tcW w:w="993" w:type="dxa"/>
          </w:tcPr>
          <w:p w:rsidR="007B4B40" w:rsidRPr="00F8567E" w:rsidRDefault="007B4B40" w:rsidP="0060541D">
            <w:pPr>
              <w:pStyle w:val="StylTcd"/>
              <w:keepLines w:val="0"/>
              <w:pageBreakBefore w:val="0"/>
              <w:spacing w:after="0"/>
              <w:jc w:val="left"/>
            </w:pPr>
            <w:r w:rsidRPr="00F8567E">
              <w:t>I.</w:t>
            </w:r>
            <w:r>
              <w:t>2</w:t>
            </w:r>
            <w:r w:rsidRPr="00F8567E">
              <w:t>.</w:t>
            </w:r>
          </w:p>
        </w:tc>
        <w:tc>
          <w:tcPr>
            <w:tcW w:w="8289" w:type="dxa"/>
          </w:tcPr>
          <w:p w:rsidR="007B4B40" w:rsidRPr="00F8567E" w:rsidRDefault="00E45165" w:rsidP="0060541D">
            <w:pPr>
              <w:tabs>
                <w:tab w:val="clear" w:pos="4536"/>
                <w:tab w:val="clear" w:pos="9072"/>
              </w:tabs>
              <w:autoSpaceDE w:val="0"/>
              <w:autoSpaceDN w:val="0"/>
              <w:adjustRightInd w:val="0"/>
              <w:ind w:firstLine="0"/>
              <w:jc w:val="left"/>
              <w:rPr>
                <w:color w:val="auto"/>
                <w:szCs w:val="24"/>
              </w:rPr>
            </w:pPr>
            <w:r>
              <w:t>OSD</w:t>
            </w:r>
            <w:r w:rsidR="007B4B40">
              <w:rPr>
                <w:color w:val="auto"/>
                <w:szCs w:val="24"/>
              </w:rPr>
              <w:t xml:space="preserve"> </w:t>
            </w:r>
            <w:r w:rsidR="007B4B40" w:rsidRPr="00F8567E">
              <w:rPr>
                <w:color w:val="auto"/>
                <w:szCs w:val="24"/>
              </w:rPr>
              <w:t>identyfikuje ograniczenia sieciowe jako:</w:t>
            </w:r>
          </w:p>
          <w:p w:rsidR="007B4B40" w:rsidRPr="00F8567E" w:rsidRDefault="007B4B40" w:rsidP="006824F9">
            <w:pPr>
              <w:numPr>
                <w:ilvl w:val="0"/>
                <w:numId w:val="28"/>
              </w:numPr>
              <w:tabs>
                <w:tab w:val="clear" w:pos="4536"/>
                <w:tab w:val="clear" w:pos="9072"/>
              </w:tabs>
              <w:autoSpaceDE w:val="0"/>
              <w:autoSpaceDN w:val="0"/>
              <w:adjustRightInd w:val="0"/>
              <w:rPr>
                <w:color w:val="auto"/>
                <w:szCs w:val="24"/>
              </w:rPr>
            </w:pPr>
            <w:r w:rsidRPr="00F8567E">
              <w:rPr>
                <w:color w:val="auto"/>
                <w:szCs w:val="24"/>
              </w:rPr>
              <w:t>maksymalne dopuszczalne moce wytwarzane i/lub maksymalną liczbę jednostek wytwórczych pracujących w danym węźle lub grupie węzłów,</w:t>
            </w:r>
          </w:p>
          <w:p w:rsidR="007B4B40" w:rsidRPr="00F8567E" w:rsidRDefault="007B4B40" w:rsidP="006824F9">
            <w:pPr>
              <w:numPr>
                <w:ilvl w:val="0"/>
                <w:numId w:val="28"/>
              </w:numPr>
              <w:tabs>
                <w:tab w:val="clear" w:pos="4536"/>
                <w:tab w:val="clear" w:pos="9072"/>
              </w:tabs>
              <w:autoSpaceDE w:val="0"/>
              <w:autoSpaceDN w:val="0"/>
              <w:adjustRightInd w:val="0"/>
              <w:rPr>
                <w:color w:val="auto"/>
                <w:szCs w:val="24"/>
              </w:rPr>
            </w:pPr>
            <w:r w:rsidRPr="00F8567E">
              <w:rPr>
                <w:color w:val="auto"/>
                <w:szCs w:val="24"/>
              </w:rPr>
              <w:t>minimalne niezbędne moce wytwarzane i/lub minimalną liczbę jednostek wytwórczych pracujących w danym węźle lub grupie węzłów,</w:t>
            </w:r>
          </w:p>
          <w:p w:rsidR="007B4B40" w:rsidRPr="00F8567E" w:rsidRDefault="007B4B40" w:rsidP="006824F9">
            <w:pPr>
              <w:numPr>
                <w:ilvl w:val="0"/>
                <w:numId w:val="28"/>
              </w:numPr>
              <w:tabs>
                <w:tab w:val="clear" w:pos="4536"/>
                <w:tab w:val="clear" w:pos="9072"/>
              </w:tabs>
              <w:autoSpaceDE w:val="0"/>
              <w:autoSpaceDN w:val="0"/>
              <w:adjustRightInd w:val="0"/>
              <w:rPr>
                <w:color w:val="auto"/>
                <w:szCs w:val="24"/>
              </w:rPr>
            </w:pPr>
            <w:r w:rsidRPr="00F8567E">
              <w:rPr>
                <w:color w:val="auto"/>
                <w:szCs w:val="24"/>
              </w:rPr>
              <w:t xml:space="preserve">planowane ograniczenia dystrybucyjne na wskazanych przekrojach </w:t>
            </w:r>
            <w:r w:rsidRPr="00F8567E">
              <w:t>sieciowych.</w:t>
            </w:r>
          </w:p>
        </w:tc>
      </w:tr>
      <w:tr w:rsidR="007B4B40" w:rsidRPr="00F8567E" w:rsidTr="0060541D">
        <w:tc>
          <w:tcPr>
            <w:tcW w:w="993" w:type="dxa"/>
          </w:tcPr>
          <w:p w:rsidR="007B4B40" w:rsidRPr="00F8567E" w:rsidRDefault="007B4B40" w:rsidP="0060541D">
            <w:pPr>
              <w:pStyle w:val="StylTcd"/>
              <w:keepLines w:val="0"/>
              <w:pageBreakBefore w:val="0"/>
              <w:spacing w:after="0"/>
              <w:jc w:val="left"/>
            </w:pPr>
            <w:r>
              <w:t>I.3</w:t>
            </w:r>
            <w:r w:rsidRPr="00F8567E">
              <w:t>.</w:t>
            </w:r>
          </w:p>
        </w:tc>
        <w:tc>
          <w:tcPr>
            <w:tcW w:w="8289" w:type="dxa"/>
          </w:tcPr>
          <w:p w:rsidR="007B4B40" w:rsidRPr="00F8567E" w:rsidRDefault="00E45165" w:rsidP="0060541D">
            <w:pPr>
              <w:pStyle w:val="Tekstpodstawowy"/>
              <w:tabs>
                <w:tab w:val="clear" w:pos="4536"/>
                <w:tab w:val="clear" w:pos="9072"/>
              </w:tabs>
              <w:spacing w:line="240" w:lineRule="auto"/>
              <w:rPr>
                <w:color w:val="auto"/>
                <w:szCs w:val="24"/>
              </w:rPr>
            </w:pPr>
            <w:r>
              <w:t>OSD</w:t>
            </w:r>
            <w:r w:rsidR="007B4B40">
              <w:rPr>
                <w:color w:val="auto"/>
                <w:szCs w:val="24"/>
              </w:rPr>
              <w:t xml:space="preserve"> </w:t>
            </w:r>
            <w:r w:rsidR="007B4B40" w:rsidRPr="00F8567E">
              <w:rPr>
                <w:color w:val="auto"/>
                <w:szCs w:val="24"/>
              </w:rPr>
              <w:t xml:space="preserve">przy planowaniu pracy sieci uwzględnia ograniczenia występujące w pracy sieci </w:t>
            </w:r>
            <w:r w:rsidR="007B4B40">
              <w:rPr>
                <w:color w:val="auto"/>
                <w:szCs w:val="24"/>
              </w:rPr>
              <w:t xml:space="preserve">dystrybucyjnej </w:t>
            </w:r>
            <w:proofErr w:type="spellStart"/>
            <w:r w:rsidR="007B4B40">
              <w:rPr>
                <w:color w:val="auto"/>
                <w:szCs w:val="24"/>
              </w:rPr>
              <w:t>OSDp</w:t>
            </w:r>
            <w:proofErr w:type="spellEnd"/>
            <w:r w:rsidR="007B4B40">
              <w:rPr>
                <w:color w:val="auto"/>
                <w:szCs w:val="24"/>
              </w:rPr>
              <w:t>. do której jest przyłączony</w:t>
            </w:r>
            <w:r w:rsidR="007B4B40" w:rsidRPr="00F8567E">
              <w:rPr>
                <w:color w:val="auto"/>
                <w:szCs w:val="24"/>
              </w:rPr>
              <w:t xml:space="preserve"> mając na celu minimalizację skutków tych ograniczeń.</w:t>
            </w:r>
          </w:p>
        </w:tc>
      </w:tr>
      <w:tr w:rsidR="007B4B40" w:rsidRPr="00F8567E" w:rsidTr="0060541D">
        <w:tc>
          <w:tcPr>
            <w:tcW w:w="993" w:type="dxa"/>
          </w:tcPr>
          <w:p w:rsidR="007B4B40" w:rsidRPr="00F8567E" w:rsidRDefault="007B4B40" w:rsidP="0060541D">
            <w:pPr>
              <w:pStyle w:val="StylTcd"/>
              <w:keepLines w:val="0"/>
              <w:pageBreakBefore w:val="0"/>
              <w:spacing w:after="0"/>
              <w:jc w:val="left"/>
            </w:pPr>
            <w:r>
              <w:t>I.4</w:t>
            </w:r>
            <w:r w:rsidRPr="00F8567E">
              <w:t>.</w:t>
            </w:r>
          </w:p>
        </w:tc>
        <w:tc>
          <w:tcPr>
            <w:tcW w:w="8289" w:type="dxa"/>
          </w:tcPr>
          <w:p w:rsidR="007B4B40" w:rsidRPr="00F8567E" w:rsidRDefault="007B4B40" w:rsidP="0060541D">
            <w:pPr>
              <w:pStyle w:val="Tekstpodstawowy"/>
              <w:tabs>
                <w:tab w:val="clear" w:pos="4536"/>
                <w:tab w:val="clear" w:pos="9072"/>
              </w:tabs>
              <w:spacing w:line="240" w:lineRule="auto"/>
              <w:rPr>
                <w:color w:val="auto"/>
                <w:szCs w:val="24"/>
              </w:rPr>
            </w:pPr>
            <w:r w:rsidRPr="00F8567E">
              <w:rPr>
                <w:color w:val="auto"/>
                <w:szCs w:val="24"/>
              </w:rPr>
              <w:t xml:space="preserve">W przypadku wystąpienia ograniczeń systemowych </w:t>
            </w:r>
            <w:r w:rsidR="00E45165">
              <w:t>OSD</w:t>
            </w:r>
            <w:r>
              <w:rPr>
                <w:color w:val="auto"/>
                <w:szCs w:val="24"/>
              </w:rPr>
              <w:t xml:space="preserve"> </w:t>
            </w:r>
            <w:r w:rsidRPr="00F8567E">
              <w:rPr>
                <w:color w:val="auto"/>
                <w:szCs w:val="24"/>
              </w:rPr>
              <w:t xml:space="preserve">prowadzi ruch sieci dystrybucyjnej mając na uwadze zapewnienie bezpieczeństwa pracy </w:t>
            </w:r>
            <w:r>
              <w:rPr>
                <w:color w:val="auto"/>
                <w:szCs w:val="24"/>
              </w:rPr>
              <w:t>sieci dystrybucyjnej</w:t>
            </w:r>
            <w:r w:rsidRPr="00F8567E">
              <w:rPr>
                <w:color w:val="auto"/>
                <w:szCs w:val="24"/>
              </w:rPr>
              <w:t>, dotrzymanie wymaganych parametrów technicznych energii elektrycznej</w:t>
            </w:r>
            <w:r>
              <w:rPr>
                <w:color w:val="auto"/>
                <w:szCs w:val="24"/>
              </w:rPr>
              <w:t>,</w:t>
            </w:r>
            <w:r w:rsidRPr="00F8567E">
              <w:rPr>
                <w:color w:val="auto"/>
                <w:szCs w:val="24"/>
              </w:rPr>
              <w:t xml:space="preserve"> minimalizację skutków ograniczeń w dostawie energii elektrycznej</w:t>
            </w:r>
            <w:r>
              <w:rPr>
                <w:color w:val="auto"/>
                <w:szCs w:val="24"/>
              </w:rPr>
              <w:t xml:space="preserve"> oraz współpracując z </w:t>
            </w:r>
            <w:proofErr w:type="spellStart"/>
            <w:r>
              <w:rPr>
                <w:color w:val="auto"/>
                <w:szCs w:val="24"/>
              </w:rPr>
              <w:t>OSDp</w:t>
            </w:r>
            <w:proofErr w:type="spellEnd"/>
            <w:r>
              <w:rPr>
                <w:color w:val="auto"/>
                <w:szCs w:val="24"/>
              </w:rPr>
              <w:t>.</w:t>
            </w:r>
          </w:p>
        </w:tc>
      </w:tr>
      <w:tr w:rsidR="007B4B40" w:rsidRPr="00F8567E" w:rsidTr="0060541D">
        <w:tc>
          <w:tcPr>
            <w:tcW w:w="993" w:type="dxa"/>
          </w:tcPr>
          <w:p w:rsidR="007B4B40" w:rsidRPr="00F8567E" w:rsidRDefault="007B4B40" w:rsidP="0060541D">
            <w:pPr>
              <w:pStyle w:val="StylTcd"/>
              <w:keepLines w:val="0"/>
              <w:pageBreakBefore w:val="0"/>
              <w:spacing w:after="0"/>
              <w:jc w:val="left"/>
            </w:pPr>
            <w:r w:rsidRPr="00F8567E">
              <w:t>I.</w:t>
            </w:r>
            <w:r>
              <w:t>5</w:t>
            </w:r>
            <w:r w:rsidRPr="00F8567E">
              <w:t>.</w:t>
            </w:r>
          </w:p>
        </w:tc>
        <w:tc>
          <w:tcPr>
            <w:tcW w:w="8289" w:type="dxa"/>
          </w:tcPr>
          <w:p w:rsidR="007B4B40" w:rsidRPr="00F8567E" w:rsidRDefault="007B4B40" w:rsidP="0060541D">
            <w:pPr>
              <w:pStyle w:val="Tekstpodstawowy"/>
              <w:tabs>
                <w:tab w:val="clear" w:pos="4536"/>
                <w:tab w:val="clear" w:pos="9072"/>
              </w:tabs>
              <w:spacing w:line="240" w:lineRule="auto"/>
              <w:rPr>
                <w:color w:val="auto"/>
                <w:szCs w:val="24"/>
              </w:rPr>
            </w:pPr>
            <w:r w:rsidRPr="00F8567E">
              <w:rPr>
                <w:color w:val="auto"/>
                <w:szCs w:val="24"/>
              </w:rPr>
              <w:t xml:space="preserve">W przypadku wystąpienia ograniczeń systemowych </w:t>
            </w:r>
            <w:r w:rsidR="00E45165">
              <w:t>OSD</w:t>
            </w:r>
            <w:r>
              <w:rPr>
                <w:color w:val="auto"/>
                <w:szCs w:val="24"/>
              </w:rPr>
              <w:t xml:space="preserve"> </w:t>
            </w:r>
            <w:r w:rsidRPr="00F8567E">
              <w:rPr>
                <w:color w:val="auto"/>
                <w:szCs w:val="24"/>
              </w:rPr>
              <w:t xml:space="preserve">podejmuje działania mające na celu ich likwidację lub zmniejszenie skutków ograniczeń występujących w sieci dystrybucyjnej samodzielnie </w:t>
            </w:r>
            <w:r>
              <w:rPr>
                <w:color w:val="auto"/>
                <w:szCs w:val="24"/>
              </w:rPr>
              <w:t xml:space="preserve">oraz we współpracy z </w:t>
            </w:r>
            <w:proofErr w:type="spellStart"/>
            <w:r w:rsidRPr="00F8567E">
              <w:rPr>
                <w:color w:val="auto"/>
                <w:szCs w:val="24"/>
              </w:rPr>
              <w:t>OSD</w:t>
            </w:r>
            <w:r>
              <w:rPr>
                <w:color w:val="auto"/>
                <w:szCs w:val="24"/>
              </w:rPr>
              <w:t>p</w:t>
            </w:r>
            <w:proofErr w:type="spellEnd"/>
            <w:r w:rsidRPr="00F8567E">
              <w:rPr>
                <w:color w:val="auto"/>
                <w:szCs w:val="24"/>
              </w:rPr>
              <w:t>.</w:t>
            </w:r>
          </w:p>
        </w:tc>
      </w:tr>
      <w:tr w:rsidR="007B4B40" w:rsidRPr="00F8567E" w:rsidTr="0060541D">
        <w:tc>
          <w:tcPr>
            <w:tcW w:w="993" w:type="dxa"/>
          </w:tcPr>
          <w:p w:rsidR="007B4B40" w:rsidRPr="00F8567E" w:rsidRDefault="007B4B40" w:rsidP="0060541D">
            <w:pPr>
              <w:pStyle w:val="StylTcd"/>
              <w:keepLines w:val="0"/>
              <w:pageBreakBefore w:val="0"/>
              <w:spacing w:after="0"/>
              <w:jc w:val="left"/>
            </w:pPr>
            <w:r w:rsidRPr="00F8567E">
              <w:t>I.</w:t>
            </w:r>
            <w:r>
              <w:t>6</w:t>
            </w:r>
            <w:r w:rsidRPr="00F8567E">
              <w:t>.</w:t>
            </w:r>
          </w:p>
        </w:tc>
        <w:tc>
          <w:tcPr>
            <w:tcW w:w="8289" w:type="dxa"/>
          </w:tcPr>
          <w:p w:rsidR="007B4B40" w:rsidRPr="00F8567E" w:rsidRDefault="007B4B40" w:rsidP="0060541D">
            <w:pPr>
              <w:pStyle w:val="Tekstpodstawowy"/>
              <w:tabs>
                <w:tab w:val="clear" w:pos="4536"/>
                <w:tab w:val="clear" w:pos="9072"/>
              </w:tabs>
              <w:spacing w:line="240" w:lineRule="auto"/>
              <w:rPr>
                <w:color w:val="auto"/>
                <w:szCs w:val="24"/>
              </w:rPr>
            </w:pPr>
            <w:r w:rsidRPr="00F8567E">
              <w:rPr>
                <w:color w:val="auto"/>
                <w:szCs w:val="24"/>
              </w:rPr>
              <w:t xml:space="preserve">W przypadku przekroczenia zidentyfikowanych ograniczeń systemowych spowodowanych awariami w KSE, </w:t>
            </w:r>
            <w:r w:rsidR="00E45165">
              <w:t>OSD</w:t>
            </w:r>
            <w:r>
              <w:rPr>
                <w:color w:val="auto"/>
                <w:szCs w:val="24"/>
              </w:rPr>
              <w:t xml:space="preserve"> </w:t>
            </w:r>
            <w:r w:rsidRPr="00F8567E">
              <w:rPr>
                <w:color w:val="auto"/>
                <w:szCs w:val="24"/>
              </w:rPr>
              <w:t xml:space="preserve">podejmuje działania szczegółowo uregulowane w części ogólnej </w:t>
            </w:r>
            <w:proofErr w:type="spellStart"/>
            <w:r w:rsidRPr="00F8567E">
              <w:rPr>
                <w:color w:val="auto"/>
                <w:szCs w:val="24"/>
              </w:rPr>
              <w:t>IRiESD</w:t>
            </w:r>
            <w:proofErr w:type="spellEnd"/>
            <w:r w:rsidRPr="00F8567E">
              <w:rPr>
                <w:color w:val="auto"/>
                <w:szCs w:val="24"/>
              </w:rPr>
              <w:t xml:space="preserve"> rozdział V</w:t>
            </w:r>
            <w:r>
              <w:rPr>
                <w:color w:val="auto"/>
                <w:szCs w:val="24"/>
              </w:rPr>
              <w:t>I</w:t>
            </w:r>
            <w:r w:rsidRPr="00F8567E">
              <w:rPr>
                <w:color w:val="auto"/>
                <w:szCs w:val="24"/>
              </w:rPr>
              <w:t xml:space="preserve"> Bezpieczeństwo funkcjonowania systemu elektroenergetycznego.</w:t>
            </w:r>
          </w:p>
        </w:tc>
      </w:tr>
    </w:tbl>
    <w:p w:rsidR="007B4B40" w:rsidRDefault="0060551F" w:rsidP="0060551F">
      <w:pPr>
        <w:pStyle w:val="styl0"/>
        <w:tabs>
          <w:tab w:val="left" w:pos="426"/>
        </w:tabs>
        <w:rPr>
          <w:sz w:val="26"/>
          <w:szCs w:val="26"/>
        </w:rPr>
      </w:pPr>
      <w:r w:rsidRPr="00D37BBC">
        <w:rPr>
          <w:sz w:val="26"/>
          <w:szCs w:val="26"/>
        </w:rPr>
        <w:tab/>
      </w:r>
    </w:p>
    <w:p w:rsidR="007B4B40" w:rsidRDefault="007B4B40"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3F5AE6" w:rsidRDefault="003F5AE6" w:rsidP="0060551F">
      <w:pPr>
        <w:pStyle w:val="styl0"/>
        <w:tabs>
          <w:tab w:val="left" w:pos="426"/>
        </w:tabs>
        <w:rPr>
          <w:b/>
          <w:sz w:val="26"/>
          <w:szCs w:val="26"/>
        </w:rPr>
      </w:pPr>
    </w:p>
    <w:p w:rsidR="007B4B40" w:rsidRDefault="007B4B40" w:rsidP="0060551F">
      <w:pPr>
        <w:pStyle w:val="styl0"/>
        <w:tabs>
          <w:tab w:val="left" w:pos="426"/>
        </w:tabs>
        <w:rPr>
          <w:b/>
          <w:sz w:val="26"/>
          <w:szCs w:val="26"/>
        </w:rPr>
      </w:pPr>
    </w:p>
    <w:p w:rsidR="007B4B40" w:rsidRDefault="007B4B40" w:rsidP="0060551F">
      <w:pPr>
        <w:pStyle w:val="styl0"/>
        <w:tabs>
          <w:tab w:val="left" w:pos="426"/>
        </w:tabs>
        <w:rPr>
          <w:b/>
          <w:sz w:val="26"/>
          <w:szCs w:val="26"/>
        </w:rPr>
      </w:pPr>
    </w:p>
    <w:p w:rsidR="0060551F" w:rsidRPr="00D37BBC" w:rsidRDefault="007B4B40" w:rsidP="0060551F">
      <w:pPr>
        <w:pStyle w:val="styl0"/>
        <w:tabs>
          <w:tab w:val="left" w:pos="426"/>
        </w:tabs>
        <w:rPr>
          <w:b/>
          <w:sz w:val="26"/>
          <w:szCs w:val="26"/>
        </w:rPr>
      </w:pPr>
      <w:r w:rsidRPr="007B4B40">
        <w:rPr>
          <w:b/>
          <w:sz w:val="26"/>
          <w:szCs w:val="26"/>
        </w:rPr>
        <w:lastRenderedPageBreak/>
        <w:t xml:space="preserve">J. </w:t>
      </w:r>
      <w:r w:rsidR="0060551F" w:rsidRPr="00D37BBC">
        <w:rPr>
          <w:b/>
          <w:sz w:val="26"/>
          <w:szCs w:val="26"/>
        </w:rPr>
        <w:t>SŁOWNIK POJĘĆ I DEFINICJI.</w:t>
      </w:r>
    </w:p>
    <w:p w:rsidR="0060551F" w:rsidRPr="00416659" w:rsidRDefault="0060551F" w:rsidP="0060551F">
      <w:pPr>
        <w:pStyle w:val="styl0"/>
        <w:rPr>
          <w:b/>
        </w:rPr>
      </w:pPr>
    </w:p>
    <w:p w:rsidR="003A4FA8" w:rsidRDefault="003A4FA8" w:rsidP="0060551F">
      <w:pPr>
        <w:pStyle w:val="Nagwek1"/>
        <w:tabs>
          <w:tab w:val="clear" w:pos="4536"/>
          <w:tab w:val="center" w:pos="2694"/>
        </w:tabs>
        <w:ind w:left="0" w:firstLine="0"/>
        <w:rPr>
          <w:b w:val="0"/>
          <w:sz w:val="24"/>
          <w:szCs w:val="24"/>
        </w:rPr>
      </w:pPr>
    </w:p>
    <w:p w:rsidR="003A4FA8" w:rsidRDefault="003A4FA8" w:rsidP="0060551F">
      <w:pPr>
        <w:pStyle w:val="Nagwek1"/>
        <w:tabs>
          <w:tab w:val="clear" w:pos="4536"/>
          <w:tab w:val="center" w:pos="2694"/>
        </w:tabs>
        <w:ind w:left="0" w:firstLine="0"/>
        <w:rPr>
          <w:b w:val="0"/>
          <w:sz w:val="24"/>
          <w:szCs w:val="24"/>
        </w:rPr>
      </w:pPr>
    </w:p>
    <w:p w:rsidR="0060551F" w:rsidRPr="00F22E5A" w:rsidRDefault="0060551F" w:rsidP="0060551F">
      <w:pPr>
        <w:pStyle w:val="Nagwek1"/>
        <w:tabs>
          <w:tab w:val="clear" w:pos="4536"/>
          <w:tab w:val="center" w:pos="2694"/>
        </w:tabs>
        <w:ind w:left="0" w:firstLine="0"/>
        <w:rPr>
          <w:b w:val="0"/>
          <w:sz w:val="24"/>
          <w:szCs w:val="24"/>
        </w:rPr>
      </w:pPr>
      <w:bookmarkStart w:id="20" w:name="_Toc375295767"/>
      <w:r w:rsidRPr="00F22E5A">
        <w:rPr>
          <w:b w:val="0"/>
          <w:sz w:val="24"/>
          <w:szCs w:val="24"/>
        </w:rPr>
        <w:t xml:space="preserve">Na potrzeby niniejszej </w:t>
      </w:r>
      <w:proofErr w:type="spellStart"/>
      <w:r w:rsidRPr="00F22E5A">
        <w:rPr>
          <w:b w:val="0"/>
          <w:sz w:val="24"/>
          <w:szCs w:val="24"/>
        </w:rPr>
        <w:t>IRiESD</w:t>
      </w:r>
      <w:proofErr w:type="spellEnd"/>
      <w:r>
        <w:rPr>
          <w:b w:val="0"/>
          <w:sz w:val="24"/>
          <w:szCs w:val="24"/>
        </w:rPr>
        <w:t>-Bilansowanie</w:t>
      </w:r>
      <w:r w:rsidRPr="00F22E5A">
        <w:rPr>
          <w:b w:val="0"/>
          <w:sz w:val="24"/>
          <w:szCs w:val="24"/>
        </w:rPr>
        <w:t xml:space="preserve"> przyjęto następujące oznaczenia skrótów </w:t>
      </w:r>
      <w:r w:rsidR="00BF259D">
        <w:rPr>
          <w:b w:val="0"/>
          <w:sz w:val="24"/>
          <w:szCs w:val="24"/>
        </w:rPr>
        <w:br/>
      </w:r>
      <w:r w:rsidRPr="00F22E5A">
        <w:rPr>
          <w:b w:val="0"/>
          <w:sz w:val="24"/>
          <w:szCs w:val="24"/>
        </w:rPr>
        <w:t>i definicje stosowanych pojęć.</w:t>
      </w:r>
      <w:bookmarkEnd w:id="20"/>
    </w:p>
    <w:p w:rsidR="0060551F" w:rsidRPr="00F22E5A" w:rsidRDefault="0060551F" w:rsidP="0060551F">
      <w:pPr>
        <w:pStyle w:val="styl0"/>
        <w:rPr>
          <w:szCs w:val="24"/>
        </w:rPr>
      </w:pPr>
    </w:p>
    <w:p w:rsidR="0060551F" w:rsidRPr="00416659" w:rsidRDefault="0060551F" w:rsidP="0060551F">
      <w:pPr>
        <w:pStyle w:val="styl0"/>
      </w:pPr>
    </w:p>
    <w:p w:rsidR="00BD36F9" w:rsidRDefault="007B4B40" w:rsidP="00BD36F9">
      <w:pPr>
        <w:pStyle w:val="Nagwek2"/>
      </w:pPr>
      <w:bookmarkStart w:id="21" w:name="_Toc106443324"/>
      <w:bookmarkStart w:id="22" w:name="_Toc106525977"/>
      <w:r>
        <w:t>J</w:t>
      </w:r>
      <w:r w:rsidR="0060551F">
        <w:t>.1.</w:t>
      </w:r>
      <w:r w:rsidR="0060551F" w:rsidRPr="00416659">
        <w:tab/>
        <w:t>OZNACZENIA SKRÓTÓW</w:t>
      </w:r>
      <w:bookmarkEnd w:id="21"/>
      <w:bookmarkEnd w:id="22"/>
    </w:p>
    <w:p w:rsidR="00BD36F9" w:rsidRPr="00BD36F9" w:rsidRDefault="00BD36F9" w:rsidP="00BD36F9">
      <w:pPr>
        <w:pStyle w:val="styl0"/>
      </w:pPr>
      <w:r>
        <w:t xml:space="preserve">Oznaczenia skrótów są zawarte w </w:t>
      </w:r>
      <w:proofErr w:type="spellStart"/>
      <w:r>
        <w:t>IRiESD</w:t>
      </w:r>
      <w:proofErr w:type="spellEnd"/>
      <w:r>
        <w:t xml:space="preserve">-Korzystanie. </w:t>
      </w:r>
    </w:p>
    <w:p w:rsidR="003A4FA8" w:rsidRDefault="003A4FA8" w:rsidP="0060551F">
      <w:pPr>
        <w:pStyle w:val="Nagwek2"/>
      </w:pPr>
      <w:bookmarkStart w:id="23" w:name="_Toc106443325"/>
      <w:bookmarkStart w:id="24" w:name="_Toc106525978"/>
    </w:p>
    <w:p w:rsidR="00BD36F9" w:rsidRDefault="00BD36F9" w:rsidP="0060551F">
      <w:pPr>
        <w:pStyle w:val="Nagwek2"/>
      </w:pPr>
    </w:p>
    <w:p w:rsidR="0060551F" w:rsidRDefault="007B4B40" w:rsidP="0060551F">
      <w:pPr>
        <w:pStyle w:val="Nagwek2"/>
      </w:pPr>
      <w:r>
        <w:t>J</w:t>
      </w:r>
      <w:r w:rsidR="0060551F">
        <w:t>.</w:t>
      </w:r>
      <w:r w:rsidR="0060551F" w:rsidRPr="00416659">
        <w:t>2.</w:t>
      </w:r>
      <w:r w:rsidR="0060551F" w:rsidRPr="00416659">
        <w:tab/>
        <w:t>POJĘCIA I DEFINICJE</w:t>
      </w:r>
      <w:bookmarkEnd w:id="23"/>
      <w:bookmarkEnd w:id="24"/>
    </w:p>
    <w:p w:rsidR="00752713" w:rsidRPr="00BD36F9" w:rsidRDefault="00752713" w:rsidP="00752713">
      <w:pPr>
        <w:pStyle w:val="styl0"/>
      </w:pPr>
      <w:r>
        <w:t xml:space="preserve">Pojęcia i definicje są zawarte w </w:t>
      </w:r>
      <w:proofErr w:type="spellStart"/>
      <w:r>
        <w:t>IRiESD</w:t>
      </w:r>
      <w:proofErr w:type="spellEnd"/>
      <w:r>
        <w:t xml:space="preserve">-Korzystanie. </w:t>
      </w:r>
    </w:p>
    <w:p w:rsidR="00752713" w:rsidRPr="00752713" w:rsidRDefault="00752713" w:rsidP="00752713">
      <w:pPr>
        <w:pStyle w:val="styl0"/>
      </w:pPr>
    </w:p>
    <w:p w:rsidR="00752713" w:rsidRDefault="00752713" w:rsidP="004E6E8E">
      <w:pPr>
        <w:pStyle w:val="Tekstpodstawowy"/>
        <w:tabs>
          <w:tab w:val="clear" w:pos="4536"/>
          <w:tab w:val="clear" w:pos="9072"/>
        </w:tabs>
        <w:spacing w:line="240" w:lineRule="auto"/>
        <w:jc w:val="right"/>
      </w:pPr>
    </w:p>
    <w:p w:rsidR="003A4FA8" w:rsidRDefault="003A4FA8"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p w:rsidR="005E0680" w:rsidRDefault="005E0680" w:rsidP="005E0680">
      <w:pPr>
        <w:pStyle w:val="styl0"/>
        <w:rPr>
          <w:rFonts w:ascii="Arial" w:hAnsi="Arial" w:cs="Arial"/>
          <w:color w:val="000000"/>
        </w:rPr>
      </w:pPr>
    </w:p>
    <w:p w:rsidR="005E0680" w:rsidRDefault="005E0680" w:rsidP="000F6B32">
      <w:pPr>
        <w:pStyle w:val="styl0"/>
        <w:rPr>
          <w:rFonts w:ascii="Arial" w:hAnsi="Arial" w:cs="Arial"/>
          <w:color w:val="000000"/>
        </w:rPr>
      </w:pPr>
    </w:p>
    <w:p w:rsidR="000F6B32" w:rsidRDefault="000F6B32" w:rsidP="000F6B32">
      <w:pPr>
        <w:pStyle w:val="styl0"/>
        <w:rPr>
          <w:rFonts w:ascii="Arial" w:hAnsi="Arial" w:cs="Arial"/>
          <w:color w:val="000000"/>
        </w:rPr>
      </w:pPr>
      <w:r>
        <w:rPr>
          <w:rFonts w:ascii="Arial" w:hAnsi="Arial" w:cs="Arial"/>
          <w:color w:val="000000"/>
        </w:rPr>
        <w:lastRenderedPageBreak/>
        <w:t xml:space="preserve">Załącznik nr </w:t>
      </w:r>
      <w:r w:rsidR="005E0680">
        <w:rPr>
          <w:rFonts w:ascii="Arial" w:hAnsi="Arial" w:cs="Arial"/>
          <w:color w:val="000000"/>
        </w:rPr>
        <w:t>3</w:t>
      </w:r>
    </w:p>
    <w:p w:rsidR="000F6B32" w:rsidRDefault="000F6B32" w:rsidP="000F6B32">
      <w:pPr>
        <w:ind w:firstLine="0"/>
        <w:rPr>
          <w:rFonts w:ascii="Arial" w:hAnsi="Arial" w:cs="Arial"/>
        </w:rPr>
      </w:pPr>
      <w:r>
        <w:rPr>
          <w:rFonts w:ascii="Arial" w:hAnsi="Arial" w:cs="Arial"/>
        </w:rPr>
        <w:t>do Instrukcji ruchu i eksploatacji sieci dystrybucyjnej</w:t>
      </w:r>
    </w:p>
    <w:p w:rsidR="000F6B32" w:rsidRDefault="000F6B32" w:rsidP="000F6B32">
      <w:pPr>
        <w:ind w:firstLine="0"/>
        <w:rPr>
          <w:rFonts w:ascii="Arial" w:hAnsi="Arial" w:cs="Arial"/>
        </w:rPr>
      </w:pPr>
    </w:p>
    <w:p w:rsidR="000F6B32" w:rsidRPr="00806398" w:rsidRDefault="000F6B32" w:rsidP="000F6B32">
      <w:pPr>
        <w:ind w:firstLine="0"/>
      </w:pPr>
    </w:p>
    <w:p w:rsidR="000F6B32" w:rsidRPr="00806398" w:rsidRDefault="000F6B32" w:rsidP="000F6B32">
      <w:pPr>
        <w:jc w:val="center"/>
      </w:pPr>
      <w:r w:rsidRPr="00806398">
        <w:t>Wykaz profili i zasady ich stosowania dla odbiorców profilowych.</w:t>
      </w:r>
    </w:p>
    <w:p w:rsidR="000F6B32" w:rsidRPr="00806398" w:rsidRDefault="000F6B32" w:rsidP="000F6B3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0F6B32" w:rsidRPr="00806398" w:rsidTr="003156B9">
        <w:tc>
          <w:tcPr>
            <w:tcW w:w="3168" w:type="dxa"/>
            <w:tcBorders>
              <w:top w:val="single" w:sz="12" w:space="0" w:color="auto"/>
              <w:bottom w:val="single" w:sz="12" w:space="0" w:color="auto"/>
            </w:tcBorders>
          </w:tcPr>
          <w:p w:rsidR="000F6B32" w:rsidRPr="00806398" w:rsidRDefault="000F6B32" w:rsidP="003156B9">
            <w:pPr>
              <w:jc w:val="center"/>
              <w:rPr>
                <w:b/>
              </w:rPr>
            </w:pPr>
            <w:r w:rsidRPr="00806398">
              <w:rPr>
                <w:b/>
              </w:rPr>
              <w:t>Nazwa profilu</w:t>
            </w:r>
          </w:p>
        </w:tc>
        <w:tc>
          <w:tcPr>
            <w:tcW w:w="6044" w:type="dxa"/>
            <w:tcBorders>
              <w:top w:val="single" w:sz="12" w:space="0" w:color="auto"/>
              <w:bottom w:val="single" w:sz="12" w:space="0" w:color="auto"/>
            </w:tcBorders>
          </w:tcPr>
          <w:p w:rsidR="000F6B32" w:rsidRPr="00806398" w:rsidRDefault="000F6B32" w:rsidP="003156B9">
            <w:pPr>
              <w:jc w:val="center"/>
              <w:rPr>
                <w:b/>
              </w:rPr>
            </w:pPr>
            <w:r w:rsidRPr="00806398">
              <w:rPr>
                <w:b/>
              </w:rPr>
              <w:t>Zakwalifikowani odbiorcy</w:t>
            </w:r>
          </w:p>
        </w:tc>
      </w:tr>
      <w:tr w:rsidR="000F6B32" w:rsidRPr="00806398" w:rsidTr="003156B9">
        <w:tc>
          <w:tcPr>
            <w:tcW w:w="3168" w:type="dxa"/>
            <w:tcBorders>
              <w:top w:val="single" w:sz="12" w:space="0" w:color="auto"/>
            </w:tcBorders>
            <w:vAlign w:val="center"/>
          </w:tcPr>
          <w:p w:rsidR="000F6B32" w:rsidRPr="00806398" w:rsidRDefault="000F6B32" w:rsidP="003156B9">
            <w:pPr>
              <w:jc w:val="center"/>
              <w:rPr>
                <w:b/>
              </w:rPr>
            </w:pPr>
            <w:r w:rsidRPr="00806398">
              <w:rPr>
                <w:b/>
              </w:rPr>
              <w:t>Profil A</w:t>
            </w:r>
          </w:p>
        </w:tc>
        <w:tc>
          <w:tcPr>
            <w:tcW w:w="6044" w:type="dxa"/>
            <w:tcBorders>
              <w:top w:val="single" w:sz="12" w:space="0" w:color="auto"/>
            </w:tcBorders>
          </w:tcPr>
          <w:p w:rsidR="000F6B32" w:rsidRPr="00806398" w:rsidRDefault="000F6B32" w:rsidP="003156B9">
            <w:r w:rsidRPr="00806398">
              <w:t>Odbiorcy grupy G 11 spełniający warunki:</w:t>
            </w:r>
          </w:p>
          <w:p w:rsidR="000F6B32" w:rsidRPr="00806398" w:rsidRDefault="000F6B32" w:rsidP="006824F9">
            <w:pPr>
              <w:numPr>
                <w:ilvl w:val="0"/>
                <w:numId w:val="41"/>
              </w:numPr>
              <w:tabs>
                <w:tab w:val="clear" w:pos="4536"/>
                <w:tab w:val="clear" w:pos="9072"/>
              </w:tabs>
              <w:spacing w:before="0"/>
              <w:jc w:val="left"/>
            </w:pPr>
            <w:r w:rsidRPr="00806398">
              <w:t>odbiorcy bytowo – komunalni,</w:t>
            </w:r>
          </w:p>
          <w:p w:rsidR="000F6B32" w:rsidRPr="00806398" w:rsidRDefault="000F6B32" w:rsidP="006824F9">
            <w:pPr>
              <w:numPr>
                <w:ilvl w:val="0"/>
                <w:numId w:val="41"/>
              </w:numPr>
              <w:tabs>
                <w:tab w:val="clear" w:pos="4536"/>
                <w:tab w:val="clear" w:pos="9072"/>
              </w:tabs>
              <w:spacing w:before="0"/>
              <w:jc w:val="left"/>
            </w:pPr>
            <w:r w:rsidRPr="00806398">
              <w:t>licznik jednostrefowy.</w:t>
            </w:r>
          </w:p>
        </w:tc>
      </w:tr>
      <w:tr w:rsidR="000F6B32" w:rsidRPr="00806398" w:rsidTr="003156B9">
        <w:tc>
          <w:tcPr>
            <w:tcW w:w="3168" w:type="dxa"/>
            <w:vAlign w:val="center"/>
          </w:tcPr>
          <w:p w:rsidR="000F6B32" w:rsidRPr="00806398" w:rsidRDefault="000F6B32" w:rsidP="003156B9">
            <w:pPr>
              <w:jc w:val="center"/>
              <w:rPr>
                <w:b/>
              </w:rPr>
            </w:pPr>
            <w:r w:rsidRPr="00806398">
              <w:rPr>
                <w:b/>
              </w:rPr>
              <w:t>Profil B</w:t>
            </w:r>
          </w:p>
        </w:tc>
        <w:tc>
          <w:tcPr>
            <w:tcW w:w="6044" w:type="dxa"/>
          </w:tcPr>
          <w:p w:rsidR="000F6B32" w:rsidRPr="00806398" w:rsidRDefault="000F6B32" w:rsidP="003156B9">
            <w:r w:rsidRPr="00806398">
              <w:t>Odbiorcy grupy G 12 spełniający warunki:</w:t>
            </w:r>
          </w:p>
          <w:p w:rsidR="000F6B32" w:rsidRPr="00806398" w:rsidRDefault="000F6B32" w:rsidP="006824F9">
            <w:pPr>
              <w:numPr>
                <w:ilvl w:val="0"/>
                <w:numId w:val="41"/>
              </w:numPr>
              <w:tabs>
                <w:tab w:val="clear" w:pos="4536"/>
                <w:tab w:val="clear" w:pos="9072"/>
              </w:tabs>
              <w:spacing w:before="0"/>
              <w:jc w:val="left"/>
            </w:pPr>
            <w:r w:rsidRPr="00806398">
              <w:t>odbiorcy bytowo – komunalni,</w:t>
            </w:r>
          </w:p>
          <w:p w:rsidR="000F6B32" w:rsidRPr="00806398" w:rsidRDefault="000F6B32" w:rsidP="006824F9">
            <w:pPr>
              <w:numPr>
                <w:ilvl w:val="0"/>
                <w:numId w:val="41"/>
              </w:numPr>
              <w:tabs>
                <w:tab w:val="clear" w:pos="4536"/>
                <w:tab w:val="clear" w:pos="9072"/>
              </w:tabs>
              <w:spacing w:before="0"/>
              <w:jc w:val="left"/>
            </w:pPr>
            <w:r w:rsidRPr="00806398">
              <w:t>licznik dwustrefowy.</w:t>
            </w:r>
          </w:p>
          <w:p w:rsidR="000F6B32" w:rsidRPr="00806398" w:rsidRDefault="000F6B32" w:rsidP="003156B9"/>
        </w:tc>
      </w:tr>
      <w:tr w:rsidR="000F6B32" w:rsidRPr="00806398" w:rsidTr="003156B9">
        <w:tc>
          <w:tcPr>
            <w:tcW w:w="3168" w:type="dxa"/>
            <w:vAlign w:val="center"/>
          </w:tcPr>
          <w:p w:rsidR="000F6B32" w:rsidRPr="00806398" w:rsidRDefault="000F6B32" w:rsidP="003156B9">
            <w:pPr>
              <w:jc w:val="center"/>
              <w:rPr>
                <w:b/>
              </w:rPr>
            </w:pPr>
            <w:r w:rsidRPr="00806398">
              <w:rPr>
                <w:b/>
              </w:rPr>
              <w:t>Profil C</w:t>
            </w:r>
          </w:p>
        </w:tc>
        <w:tc>
          <w:tcPr>
            <w:tcW w:w="6044" w:type="dxa"/>
          </w:tcPr>
          <w:p w:rsidR="000F6B32" w:rsidRPr="00806398" w:rsidRDefault="000F6B32" w:rsidP="003156B9">
            <w:r w:rsidRPr="00806398">
              <w:t>Odbiorcy grupy C 11 spełniający warunki:</w:t>
            </w:r>
          </w:p>
          <w:p w:rsidR="000F6B32" w:rsidRPr="00806398" w:rsidRDefault="000F6B32" w:rsidP="006824F9">
            <w:pPr>
              <w:numPr>
                <w:ilvl w:val="0"/>
                <w:numId w:val="41"/>
              </w:numPr>
              <w:tabs>
                <w:tab w:val="clear" w:pos="4536"/>
                <w:tab w:val="clear" w:pos="9072"/>
              </w:tabs>
              <w:spacing w:before="0"/>
              <w:jc w:val="left"/>
            </w:pPr>
            <w:r w:rsidRPr="00806398">
              <w:t>lokal usługowy, produkcyjny</w:t>
            </w:r>
          </w:p>
          <w:p w:rsidR="000F6B32" w:rsidRPr="00806398" w:rsidRDefault="000F6B32" w:rsidP="006824F9">
            <w:pPr>
              <w:numPr>
                <w:ilvl w:val="0"/>
                <w:numId w:val="41"/>
              </w:numPr>
              <w:tabs>
                <w:tab w:val="clear" w:pos="4536"/>
                <w:tab w:val="clear" w:pos="9072"/>
              </w:tabs>
              <w:spacing w:before="0"/>
              <w:jc w:val="left"/>
            </w:pPr>
            <w:r w:rsidRPr="00806398">
              <w:t>zasilanie 1-fazowe,</w:t>
            </w:r>
          </w:p>
          <w:p w:rsidR="000F6B32" w:rsidRPr="00806398" w:rsidRDefault="000F6B32" w:rsidP="006824F9">
            <w:pPr>
              <w:numPr>
                <w:ilvl w:val="0"/>
                <w:numId w:val="41"/>
              </w:numPr>
              <w:tabs>
                <w:tab w:val="clear" w:pos="4536"/>
                <w:tab w:val="clear" w:pos="9072"/>
              </w:tabs>
              <w:spacing w:before="0"/>
              <w:jc w:val="left"/>
            </w:pPr>
            <w:r w:rsidRPr="00806398">
              <w:t>licznik jednostrefowy.</w:t>
            </w:r>
          </w:p>
        </w:tc>
      </w:tr>
      <w:tr w:rsidR="000F6B32" w:rsidRPr="00806398" w:rsidTr="003156B9">
        <w:tc>
          <w:tcPr>
            <w:tcW w:w="3168" w:type="dxa"/>
            <w:vAlign w:val="center"/>
          </w:tcPr>
          <w:p w:rsidR="000F6B32" w:rsidRPr="00806398" w:rsidRDefault="000F6B32" w:rsidP="003156B9">
            <w:pPr>
              <w:jc w:val="center"/>
              <w:rPr>
                <w:b/>
              </w:rPr>
            </w:pPr>
            <w:r w:rsidRPr="00806398">
              <w:rPr>
                <w:b/>
              </w:rPr>
              <w:t>Profil D</w:t>
            </w:r>
          </w:p>
        </w:tc>
        <w:tc>
          <w:tcPr>
            <w:tcW w:w="6044" w:type="dxa"/>
          </w:tcPr>
          <w:p w:rsidR="000F6B32" w:rsidRPr="00806398" w:rsidRDefault="000F6B32" w:rsidP="003156B9">
            <w:r w:rsidRPr="00806398">
              <w:t>Odbiorcy grupy C 11 spełniający warunki:</w:t>
            </w:r>
          </w:p>
          <w:p w:rsidR="000F6B32" w:rsidRPr="00806398" w:rsidRDefault="000F6B32" w:rsidP="006824F9">
            <w:pPr>
              <w:numPr>
                <w:ilvl w:val="0"/>
                <w:numId w:val="41"/>
              </w:numPr>
              <w:tabs>
                <w:tab w:val="clear" w:pos="4536"/>
                <w:tab w:val="clear" w:pos="9072"/>
              </w:tabs>
              <w:spacing w:before="0"/>
              <w:jc w:val="left"/>
            </w:pPr>
            <w:r w:rsidRPr="00806398">
              <w:t>lokal usługowy, produkcyjny</w:t>
            </w:r>
          </w:p>
          <w:p w:rsidR="000F6B32" w:rsidRPr="00806398" w:rsidRDefault="000F6B32" w:rsidP="006824F9">
            <w:pPr>
              <w:numPr>
                <w:ilvl w:val="0"/>
                <w:numId w:val="41"/>
              </w:numPr>
              <w:tabs>
                <w:tab w:val="clear" w:pos="4536"/>
                <w:tab w:val="clear" w:pos="9072"/>
              </w:tabs>
              <w:spacing w:before="0"/>
              <w:jc w:val="left"/>
            </w:pPr>
            <w:r w:rsidRPr="00806398">
              <w:t>zasilanie 3-fazowe,</w:t>
            </w:r>
          </w:p>
          <w:p w:rsidR="000F6B32" w:rsidRPr="00806398" w:rsidRDefault="000F6B32" w:rsidP="006824F9">
            <w:pPr>
              <w:numPr>
                <w:ilvl w:val="0"/>
                <w:numId w:val="41"/>
              </w:numPr>
              <w:tabs>
                <w:tab w:val="clear" w:pos="4536"/>
                <w:tab w:val="clear" w:pos="9072"/>
              </w:tabs>
              <w:spacing w:before="0"/>
              <w:jc w:val="left"/>
            </w:pPr>
            <w:r w:rsidRPr="00806398">
              <w:t>licznik jednostrefowy.</w:t>
            </w:r>
          </w:p>
        </w:tc>
      </w:tr>
      <w:tr w:rsidR="000F6B32" w:rsidRPr="00806398" w:rsidTr="003156B9">
        <w:tc>
          <w:tcPr>
            <w:tcW w:w="3168" w:type="dxa"/>
            <w:vAlign w:val="center"/>
          </w:tcPr>
          <w:p w:rsidR="000F6B32" w:rsidRPr="00806398" w:rsidRDefault="000F6B32" w:rsidP="003156B9">
            <w:pPr>
              <w:jc w:val="center"/>
              <w:rPr>
                <w:b/>
              </w:rPr>
            </w:pPr>
            <w:r w:rsidRPr="00806398">
              <w:rPr>
                <w:b/>
              </w:rPr>
              <w:t>Profil E</w:t>
            </w:r>
          </w:p>
        </w:tc>
        <w:tc>
          <w:tcPr>
            <w:tcW w:w="6044" w:type="dxa"/>
          </w:tcPr>
          <w:p w:rsidR="000F6B32" w:rsidRPr="00806398" w:rsidRDefault="000F6B32" w:rsidP="003156B9">
            <w:r w:rsidRPr="00806398">
              <w:t>Odbiorcy grupy C 12a spełniający warunki:</w:t>
            </w:r>
          </w:p>
          <w:p w:rsidR="000F6B32" w:rsidRPr="00806398" w:rsidRDefault="000F6B32" w:rsidP="006824F9">
            <w:pPr>
              <w:numPr>
                <w:ilvl w:val="0"/>
                <w:numId w:val="41"/>
              </w:numPr>
              <w:tabs>
                <w:tab w:val="clear" w:pos="4536"/>
                <w:tab w:val="clear" w:pos="9072"/>
              </w:tabs>
              <w:spacing w:before="0"/>
              <w:jc w:val="left"/>
            </w:pPr>
            <w:r w:rsidRPr="00806398">
              <w:t>lokal usługowy, produkcyjny</w:t>
            </w:r>
          </w:p>
          <w:p w:rsidR="000F6B32" w:rsidRPr="00806398" w:rsidRDefault="000F6B32" w:rsidP="006824F9">
            <w:pPr>
              <w:numPr>
                <w:ilvl w:val="0"/>
                <w:numId w:val="41"/>
              </w:numPr>
              <w:tabs>
                <w:tab w:val="clear" w:pos="4536"/>
                <w:tab w:val="clear" w:pos="9072"/>
              </w:tabs>
              <w:spacing w:before="0"/>
              <w:jc w:val="left"/>
            </w:pPr>
            <w:r w:rsidRPr="00806398">
              <w:t>zasilanie 3-fazowe,</w:t>
            </w:r>
          </w:p>
          <w:p w:rsidR="000F6B32" w:rsidRPr="00806398" w:rsidRDefault="000F6B32" w:rsidP="006824F9">
            <w:pPr>
              <w:numPr>
                <w:ilvl w:val="0"/>
                <w:numId w:val="41"/>
              </w:numPr>
              <w:tabs>
                <w:tab w:val="clear" w:pos="4536"/>
                <w:tab w:val="clear" w:pos="9072"/>
              </w:tabs>
              <w:spacing w:before="0"/>
              <w:jc w:val="left"/>
            </w:pPr>
            <w:r w:rsidRPr="00806398">
              <w:t xml:space="preserve">licznik dwustrefowy (szczyt i </w:t>
            </w:r>
            <w:proofErr w:type="spellStart"/>
            <w:r w:rsidRPr="00806398">
              <w:t>pozaszczyt</w:t>
            </w:r>
            <w:proofErr w:type="spellEnd"/>
            <w:r w:rsidRPr="00806398">
              <w:t>).</w:t>
            </w:r>
          </w:p>
        </w:tc>
      </w:tr>
      <w:tr w:rsidR="000F6B32" w:rsidRPr="00806398" w:rsidTr="003156B9">
        <w:tc>
          <w:tcPr>
            <w:tcW w:w="3168" w:type="dxa"/>
            <w:vAlign w:val="center"/>
          </w:tcPr>
          <w:p w:rsidR="000F6B32" w:rsidRPr="00806398" w:rsidRDefault="000F6B32" w:rsidP="003156B9">
            <w:pPr>
              <w:jc w:val="center"/>
              <w:rPr>
                <w:b/>
              </w:rPr>
            </w:pPr>
            <w:r w:rsidRPr="00806398">
              <w:rPr>
                <w:b/>
              </w:rPr>
              <w:t>Profil F</w:t>
            </w:r>
          </w:p>
        </w:tc>
        <w:tc>
          <w:tcPr>
            <w:tcW w:w="6044" w:type="dxa"/>
          </w:tcPr>
          <w:p w:rsidR="000F6B32" w:rsidRPr="00806398" w:rsidRDefault="000F6B32" w:rsidP="003156B9">
            <w:r w:rsidRPr="00806398">
              <w:t>Odbiorcy grupy C 12b spełniający warunki:</w:t>
            </w:r>
          </w:p>
          <w:p w:rsidR="000F6B32" w:rsidRPr="00806398" w:rsidRDefault="000F6B32" w:rsidP="006824F9">
            <w:pPr>
              <w:numPr>
                <w:ilvl w:val="0"/>
                <w:numId w:val="41"/>
              </w:numPr>
              <w:tabs>
                <w:tab w:val="clear" w:pos="4536"/>
                <w:tab w:val="clear" w:pos="9072"/>
              </w:tabs>
              <w:spacing w:before="0"/>
              <w:jc w:val="left"/>
            </w:pPr>
            <w:r w:rsidRPr="00806398">
              <w:t>lokal usługowy, produkcyjny</w:t>
            </w:r>
          </w:p>
          <w:p w:rsidR="000F6B32" w:rsidRPr="00806398" w:rsidRDefault="000F6B32" w:rsidP="006824F9">
            <w:pPr>
              <w:numPr>
                <w:ilvl w:val="0"/>
                <w:numId w:val="41"/>
              </w:numPr>
              <w:tabs>
                <w:tab w:val="clear" w:pos="4536"/>
                <w:tab w:val="clear" w:pos="9072"/>
              </w:tabs>
              <w:spacing w:before="0"/>
              <w:jc w:val="left"/>
            </w:pPr>
            <w:r w:rsidRPr="00806398">
              <w:t>zasilanie 3-fazowe,</w:t>
            </w:r>
          </w:p>
          <w:p w:rsidR="000F6B32" w:rsidRPr="00806398" w:rsidRDefault="000F6B32" w:rsidP="006824F9">
            <w:pPr>
              <w:numPr>
                <w:ilvl w:val="0"/>
                <w:numId w:val="41"/>
              </w:numPr>
              <w:tabs>
                <w:tab w:val="clear" w:pos="4536"/>
                <w:tab w:val="clear" w:pos="9072"/>
              </w:tabs>
              <w:spacing w:before="0"/>
              <w:jc w:val="left"/>
            </w:pPr>
            <w:r w:rsidRPr="00806398">
              <w:t>licznik dwustrefowy (dzień –noc).</w:t>
            </w:r>
          </w:p>
        </w:tc>
      </w:tr>
    </w:tbl>
    <w:p w:rsidR="000F6B32" w:rsidRPr="00806398" w:rsidRDefault="000F6B32" w:rsidP="000F6B32">
      <w:pPr>
        <w:spacing w:before="240" w:after="240"/>
      </w:pPr>
      <w:r w:rsidRPr="00806398">
        <w:t>Przyjęto następujące podziały:</w:t>
      </w:r>
    </w:p>
    <w:p w:rsidR="000F6B32" w:rsidRPr="00806398" w:rsidRDefault="000F6B32" w:rsidP="000F6B32">
      <w:r w:rsidRPr="00806398">
        <w:t>1) lato (obejmuje okres 1 kwietnia do 30 września) –z podziałem na doby:</w:t>
      </w:r>
    </w:p>
    <w:p w:rsidR="000F6B32" w:rsidRPr="00806398" w:rsidRDefault="000F6B32" w:rsidP="006824F9">
      <w:pPr>
        <w:numPr>
          <w:ilvl w:val="0"/>
          <w:numId w:val="42"/>
        </w:numPr>
        <w:tabs>
          <w:tab w:val="clear" w:pos="4536"/>
          <w:tab w:val="clear" w:pos="9072"/>
        </w:tabs>
        <w:spacing w:before="0"/>
        <w:jc w:val="left"/>
      </w:pPr>
      <w:r w:rsidRPr="00806398">
        <w:t xml:space="preserve">dni robocze, </w:t>
      </w:r>
    </w:p>
    <w:p w:rsidR="000F6B32" w:rsidRPr="00806398" w:rsidRDefault="000F6B32" w:rsidP="006824F9">
      <w:pPr>
        <w:numPr>
          <w:ilvl w:val="0"/>
          <w:numId w:val="42"/>
        </w:numPr>
        <w:tabs>
          <w:tab w:val="clear" w:pos="4536"/>
          <w:tab w:val="clear" w:pos="9072"/>
        </w:tabs>
        <w:spacing w:before="0"/>
        <w:jc w:val="left"/>
      </w:pPr>
      <w:r w:rsidRPr="00806398">
        <w:t>dni świąteczne (niedziele i święta ustawowe),</w:t>
      </w:r>
    </w:p>
    <w:p w:rsidR="000F6B32" w:rsidRPr="00806398" w:rsidRDefault="000F6B32" w:rsidP="006824F9">
      <w:pPr>
        <w:numPr>
          <w:ilvl w:val="0"/>
          <w:numId w:val="42"/>
        </w:numPr>
        <w:tabs>
          <w:tab w:val="clear" w:pos="4536"/>
          <w:tab w:val="clear" w:pos="9072"/>
        </w:tabs>
        <w:spacing w:before="0"/>
        <w:jc w:val="left"/>
      </w:pPr>
      <w:r w:rsidRPr="00806398">
        <w:t>soboty.</w:t>
      </w:r>
    </w:p>
    <w:p w:rsidR="000F6B32" w:rsidRPr="00806398" w:rsidRDefault="000F6B32" w:rsidP="000F6B32">
      <w:r w:rsidRPr="00806398">
        <w:t>2) zima (obejmuje okres 1 października do 31 marca) –z podziałem na doby:</w:t>
      </w:r>
    </w:p>
    <w:p w:rsidR="000F6B32" w:rsidRPr="00806398" w:rsidRDefault="000F6B32" w:rsidP="006824F9">
      <w:pPr>
        <w:numPr>
          <w:ilvl w:val="0"/>
          <w:numId w:val="42"/>
        </w:numPr>
        <w:tabs>
          <w:tab w:val="clear" w:pos="4536"/>
          <w:tab w:val="clear" w:pos="9072"/>
        </w:tabs>
        <w:spacing w:before="0"/>
        <w:jc w:val="left"/>
      </w:pPr>
      <w:r w:rsidRPr="00806398">
        <w:lastRenderedPageBreak/>
        <w:t xml:space="preserve">dni robocze, </w:t>
      </w:r>
    </w:p>
    <w:p w:rsidR="000F6B32" w:rsidRPr="00806398" w:rsidRDefault="000F6B32" w:rsidP="006824F9">
      <w:pPr>
        <w:numPr>
          <w:ilvl w:val="0"/>
          <w:numId w:val="42"/>
        </w:numPr>
        <w:tabs>
          <w:tab w:val="clear" w:pos="4536"/>
          <w:tab w:val="clear" w:pos="9072"/>
        </w:tabs>
        <w:spacing w:before="0"/>
        <w:jc w:val="left"/>
      </w:pPr>
      <w:r w:rsidRPr="00806398">
        <w:t>dni świąteczne (niedziele i święta ustawowe),</w:t>
      </w:r>
    </w:p>
    <w:p w:rsidR="000F6B32" w:rsidRPr="00806398" w:rsidRDefault="000F6B32" w:rsidP="006824F9">
      <w:pPr>
        <w:numPr>
          <w:ilvl w:val="0"/>
          <w:numId w:val="42"/>
        </w:numPr>
        <w:tabs>
          <w:tab w:val="clear" w:pos="4536"/>
          <w:tab w:val="clear" w:pos="9072"/>
        </w:tabs>
        <w:spacing w:before="0"/>
        <w:jc w:val="left"/>
      </w:pPr>
      <w:r w:rsidRPr="00806398">
        <w:t>soboty.</w:t>
      </w:r>
    </w:p>
    <w:p w:rsidR="000F6B32" w:rsidRPr="00806398" w:rsidRDefault="000F6B32" w:rsidP="000F6B32">
      <w:r w:rsidRPr="00806398">
        <w:t>Standardowe profile dla powyższych grup wraz z odpowiednimi współczynnikami zawarte są w Tabelach 1÷6.</w:t>
      </w:r>
    </w:p>
    <w:p w:rsidR="000F6B32" w:rsidRPr="00806398" w:rsidRDefault="000F6B32" w:rsidP="000F6B32"/>
    <w:p w:rsidR="000F6B32" w:rsidRPr="00806398" w:rsidRDefault="000F6B32" w:rsidP="000F6B32">
      <w:r w:rsidRPr="00806398">
        <w:t>Wyznaczenie energii elektrycznej wyliczono wg wzorów:</w:t>
      </w:r>
    </w:p>
    <w:tbl>
      <w:tblPr>
        <w:tblW w:w="0" w:type="auto"/>
        <w:tblLook w:val="01E0" w:firstRow="1" w:lastRow="1" w:firstColumn="1" w:lastColumn="1" w:noHBand="0" w:noVBand="0"/>
      </w:tblPr>
      <w:tblGrid>
        <w:gridCol w:w="8028"/>
        <w:gridCol w:w="1184"/>
      </w:tblGrid>
      <w:tr w:rsidR="000F6B32" w:rsidRPr="00806398" w:rsidTr="003156B9">
        <w:tc>
          <w:tcPr>
            <w:tcW w:w="8028" w:type="dxa"/>
          </w:tcPr>
          <w:p w:rsidR="000F6B32" w:rsidRPr="00806398" w:rsidRDefault="000F6B32" w:rsidP="003156B9">
            <w:pPr>
              <w:jc w:val="left"/>
              <w:rPr>
                <w:sz w:val="32"/>
                <w:szCs w:val="32"/>
              </w:rPr>
            </w:pPr>
            <w:r w:rsidRPr="00806398">
              <w:rPr>
                <w:sz w:val="32"/>
                <w:szCs w:val="32"/>
              </w:rPr>
              <w:t xml:space="preserve">                           </w:t>
            </w:r>
            <w:proofErr w:type="spellStart"/>
            <w:r w:rsidRPr="00806398">
              <w:rPr>
                <w:sz w:val="32"/>
                <w:szCs w:val="32"/>
              </w:rPr>
              <w:t>Z</w:t>
            </w:r>
            <w:r w:rsidRPr="00806398">
              <w:rPr>
                <w:sz w:val="32"/>
                <w:szCs w:val="32"/>
                <w:vertAlign w:val="subscript"/>
              </w:rPr>
              <w:t>h</w:t>
            </w:r>
            <w:proofErr w:type="spellEnd"/>
            <w:r w:rsidRPr="00806398">
              <w:rPr>
                <w:sz w:val="32"/>
                <w:szCs w:val="32"/>
                <w:vertAlign w:val="subscript"/>
              </w:rPr>
              <w:t xml:space="preserve"> </w:t>
            </w:r>
            <w:r w:rsidRPr="00806398">
              <w:rPr>
                <w:sz w:val="32"/>
                <w:szCs w:val="32"/>
              </w:rPr>
              <w:t xml:space="preserve">= </w:t>
            </w:r>
            <w:proofErr w:type="spellStart"/>
            <w:r w:rsidRPr="00806398">
              <w:rPr>
                <w:sz w:val="32"/>
                <w:szCs w:val="32"/>
              </w:rPr>
              <w:t>W</w:t>
            </w:r>
            <w:r w:rsidRPr="00806398">
              <w:rPr>
                <w:sz w:val="32"/>
                <w:szCs w:val="32"/>
                <w:vertAlign w:val="subscript"/>
              </w:rPr>
              <w:t>w</w:t>
            </w:r>
            <w:proofErr w:type="spellEnd"/>
            <w:r w:rsidRPr="00806398">
              <w:rPr>
                <w:sz w:val="32"/>
                <w:szCs w:val="32"/>
                <w:vertAlign w:val="subscript"/>
              </w:rPr>
              <w:t xml:space="preserve"> </w:t>
            </w:r>
            <w:r w:rsidRPr="00806398">
              <w:rPr>
                <w:sz w:val="32"/>
                <w:szCs w:val="32"/>
              </w:rPr>
              <w:t xml:space="preserve">· </w:t>
            </w:r>
            <w:proofErr w:type="spellStart"/>
            <w:r w:rsidRPr="00806398">
              <w:rPr>
                <w:sz w:val="32"/>
                <w:szCs w:val="32"/>
              </w:rPr>
              <w:t>P</w:t>
            </w:r>
            <w:r w:rsidRPr="00806398">
              <w:rPr>
                <w:sz w:val="32"/>
                <w:szCs w:val="32"/>
                <w:vertAlign w:val="subscript"/>
              </w:rPr>
              <w:t>h</w:t>
            </w:r>
            <w:proofErr w:type="spellEnd"/>
            <w:r w:rsidRPr="00806398">
              <w:rPr>
                <w:sz w:val="32"/>
                <w:szCs w:val="32"/>
                <w:vertAlign w:val="subscript"/>
              </w:rPr>
              <w:t xml:space="preserve">                                                                 </w:t>
            </w:r>
            <w:r w:rsidRPr="00806398">
              <w:rPr>
                <w:sz w:val="32"/>
                <w:szCs w:val="32"/>
              </w:rPr>
              <w:t>(1)</w:t>
            </w:r>
          </w:p>
        </w:tc>
        <w:tc>
          <w:tcPr>
            <w:tcW w:w="1184" w:type="dxa"/>
          </w:tcPr>
          <w:p w:rsidR="000F6B32" w:rsidRPr="00806398" w:rsidRDefault="000F6B32" w:rsidP="003156B9">
            <w:pPr>
              <w:rPr>
                <w:sz w:val="32"/>
                <w:szCs w:val="32"/>
              </w:rPr>
            </w:pPr>
          </w:p>
        </w:tc>
      </w:tr>
      <w:tr w:rsidR="000F6B32" w:rsidRPr="00806398" w:rsidTr="003156B9">
        <w:tc>
          <w:tcPr>
            <w:tcW w:w="8028" w:type="dxa"/>
          </w:tcPr>
          <w:p w:rsidR="000F6B32" w:rsidRPr="00806398" w:rsidRDefault="000F6B32" w:rsidP="003156B9">
            <w:pPr>
              <w:tabs>
                <w:tab w:val="left" w:pos="1080"/>
              </w:tabs>
            </w:pPr>
            <w:r w:rsidRPr="00806398">
              <w:t>Gdzie:</w:t>
            </w:r>
          </w:p>
          <w:p w:rsidR="000F6B32" w:rsidRPr="00806398" w:rsidRDefault="000F6B32" w:rsidP="003156B9">
            <w:pPr>
              <w:tabs>
                <w:tab w:val="left" w:pos="1080"/>
              </w:tabs>
            </w:pPr>
            <w:proofErr w:type="spellStart"/>
            <w:r w:rsidRPr="00806398">
              <w:t>Z</w:t>
            </w:r>
            <w:r w:rsidRPr="00806398">
              <w:rPr>
                <w:vertAlign w:val="subscript"/>
              </w:rPr>
              <w:t>h</w:t>
            </w:r>
            <w:proofErr w:type="spellEnd"/>
            <w:r w:rsidRPr="00806398">
              <w:t xml:space="preserve">- Zużycie energii elektrycznej w danej godzinie </w:t>
            </w:r>
          </w:p>
          <w:p w:rsidR="000F6B32" w:rsidRPr="00806398" w:rsidRDefault="000F6B32" w:rsidP="003156B9">
            <w:pPr>
              <w:tabs>
                <w:tab w:val="clear" w:pos="4536"/>
              </w:tabs>
              <w:jc w:val="left"/>
            </w:pPr>
            <w:proofErr w:type="spellStart"/>
            <w:r w:rsidRPr="00806398">
              <w:t>P</w:t>
            </w:r>
            <w:r w:rsidRPr="00806398">
              <w:rPr>
                <w:vertAlign w:val="subscript"/>
              </w:rPr>
              <w:t>h</w:t>
            </w:r>
            <w:proofErr w:type="spellEnd"/>
            <w:r w:rsidRPr="00806398">
              <w:t xml:space="preserve">- Wielkość pobierana dla danej godziny doby z kolumny dzień roboczy lub  </w:t>
            </w:r>
            <w:r w:rsidRPr="00806398">
              <w:br/>
              <w:t xml:space="preserve">               sobota lub dzień świąteczny zawarta w tabeli A÷F</w:t>
            </w:r>
          </w:p>
          <w:p w:rsidR="000F6B32" w:rsidRPr="00806398" w:rsidRDefault="000F6B32" w:rsidP="003156B9">
            <w:pPr>
              <w:tabs>
                <w:tab w:val="left" w:pos="1080"/>
              </w:tabs>
            </w:pPr>
            <w:r w:rsidRPr="00806398">
              <w:t>W</w:t>
            </w:r>
            <w:r w:rsidRPr="00806398">
              <w:rPr>
                <w:vertAlign w:val="subscript"/>
              </w:rPr>
              <w:t>W</w:t>
            </w:r>
            <w:r w:rsidRPr="00806398">
              <w:t>- Współczynnik profilu</w:t>
            </w:r>
          </w:p>
          <w:p w:rsidR="000F6B32" w:rsidRPr="00806398" w:rsidRDefault="000F6B32" w:rsidP="003156B9">
            <w:pPr>
              <w:jc w:val="left"/>
              <w:rPr>
                <w:sz w:val="32"/>
                <w:szCs w:val="32"/>
              </w:rPr>
            </w:pPr>
            <w:r w:rsidRPr="00806398">
              <w:rPr>
                <w:position w:val="-12"/>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2.5pt" o:ole="">
                  <v:imagedata r:id="rId20" o:title=""/>
                </v:shape>
                <o:OLEObject Type="Embed" ProgID="Equation.3" ShapeID="_x0000_i1025" DrawAspect="Content" ObjectID="_1465642845" r:id="rId21"/>
              </w:object>
            </w:r>
            <w:r w:rsidRPr="00806398">
              <w:rPr>
                <w:position w:val="-18"/>
              </w:rPr>
              <w:object w:dxaOrig="2100" w:dyaOrig="460">
                <v:shape id="_x0000_i1026" type="#_x0000_t75" style="width:170pt;height:38pt" o:ole="">
                  <v:imagedata r:id="rId22" o:title=""/>
                </v:shape>
                <o:OLEObject Type="Embed" ProgID="Equation.3" ShapeID="_x0000_i1026" DrawAspect="Content" ObjectID="_1465642846" r:id="rId23"/>
              </w:object>
            </w:r>
            <w:r w:rsidRPr="00806398">
              <w:t xml:space="preserve">                                           </w:t>
            </w:r>
            <w:r w:rsidRPr="00806398">
              <w:rPr>
                <w:sz w:val="32"/>
                <w:szCs w:val="32"/>
              </w:rPr>
              <w:t>(2)</w:t>
            </w:r>
          </w:p>
        </w:tc>
        <w:tc>
          <w:tcPr>
            <w:tcW w:w="1184" w:type="dxa"/>
          </w:tcPr>
          <w:p w:rsidR="000F6B32" w:rsidRPr="00806398" w:rsidRDefault="000F6B32" w:rsidP="003156B9">
            <w:pPr>
              <w:rPr>
                <w:sz w:val="32"/>
                <w:szCs w:val="32"/>
              </w:rPr>
            </w:pPr>
          </w:p>
        </w:tc>
      </w:tr>
    </w:tbl>
    <w:p w:rsidR="000F6B32" w:rsidRPr="00806398" w:rsidRDefault="000F6B32" w:rsidP="000F6B32">
      <w:pPr>
        <w:ind w:firstLine="0"/>
      </w:pPr>
      <w:r w:rsidRPr="00806398">
        <w:tab/>
      </w:r>
      <w:r w:rsidRPr="00806398">
        <w:tab/>
      </w:r>
    </w:p>
    <w:p w:rsidR="000F6B32" w:rsidRPr="00806398" w:rsidRDefault="000F6B32" w:rsidP="000F6B32">
      <w:pPr>
        <w:tabs>
          <w:tab w:val="left" w:pos="1080"/>
        </w:tabs>
      </w:pPr>
      <w:r w:rsidRPr="00806398">
        <w:t xml:space="preserve">Gdzie </w:t>
      </w:r>
    </w:p>
    <w:p w:rsidR="000F6B32" w:rsidRPr="00806398" w:rsidRDefault="000F6B32" w:rsidP="000F6B32">
      <w:r w:rsidRPr="00806398">
        <w:rPr>
          <w:position w:val="-10"/>
        </w:rPr>
        <w:object w:dxaOrig="180" w:dyaOrig="340">
          <v:shape id="_x0000_i1027" type="#_x0000_t75" style="width:9.5pt;height:18.5pt" o:ole="">
            <v:imagedata r:id="rId24" o:title=""/>
          </v:shape>
          <o:OLEObject Type="Embed" ProgID="Equation.3" ShapeID="_x0000_i1027" DrawAspect="Content" ObjectID="_1465642847" r:id="rId25"/>
        </w:object>
      </w:r>
      <w:r w:rsidRPr="00806398">
        <w:rPr>
          <w:position w:val="-10"/>
        </w:rPr>
        <w:object w:dxaOrig="180" w:dyaOrig="340">
          <v:shape id="_x0000_i1028" type="#_x0000_t75" style="width:9.5pt;height:18.5pt" o:ole="">
            <v:imagedata r:id="rId24" o:title=""/>
          </v:shape>
          <o:OLEObject Type="Embed" ProgID="Equation.3" ShapeID="_x0000_i1028" DrawAspect="Content" ObjectID="_1465642848" r:id="rId26"/>
        </w:object>
      </w:r>
    </w:p>
    <w:p w:rsidR="000F6B32" w:rsidRPr="00806398" w:rsidRDefault="000F6B32" w:rsidP="000F6B32">
      <w:pPr>
        <w:tabs>
          <w:tab w:val="left" w:pos="1080"/>
        </w:tabs>
      </w:pPr>
      <w:r w:rsidRPr="00806398">
        <w:t>W</w:t>
      </w:r>
      <w:r w:rsidRPr="00806398">
        <w:rPr>
          <w:vertAlign w:val="subscript"/>
        </w:rPr>
        <w:t xml:space="preserve">W  </w:t>
      </w:r>
      <w:r w:rsidRPr="00806398">
        <w:t>- Współczynnik profilu</w:t>
      </w:r>
    </w:p>
    <w:p w:rsidR="000F6B32" w:rsidRPr="00806398" w:rsidRDefault="000F6B32" w:rsidP="000F6B32">
      <w:proofErr w:type="spellStart"/>
      <w:r w:rsidRPr="00806398">
        <w:t>Z</w:t>
      </w:r>
      <w:r w:rsidRPr="00806398">
        <w:rPr>
          <w:vertAlign w:val="subscript"/>
        </w:rPr>
        <w:t>Rz</w:t>
      </w:r>
      <w:proofErr w:type="spellEnd"/>
      <w:r w:rsidRPr="00806398">
        <w:rPr>
          <w:vertAlign w:val="subscript"/>
        </w:rPr>
        <w:t xml:space="preserve">   </w:t>
      </w:r>
      <w:r w:rsidRPr="00806398">
        <w:t>- Zużycie rzeczywiste odbiorcy w danym okresie rozrachunkowym</w:t>
      </w:r>
    </w:p>
    <w:p w:rsidR="000F6B32" w:rsidRPr="00806398" w:rsidRDefault="000F6B32" w:rsidP="000F6B32">
      <w:pPr>
        <w:tabs>
          <w:tab w:val="clear" w:pos="4536"/>
          <w:tab w:val="clear" w:pos="9072"/>
        </w:tabs>
        <w:jc w:val="left"/>
      </w:pPr>
      <w:proofErr w:type="spellStart"/>
      <w:r w:rsidRPr="00806398">
        <w:t>iL</w:t>
      </w:r>
      <w:r w:rsidRPr="00806398">
        <w:rPr>
          <w:vertAlign w:val="subscript"/>
        </w:rPr>
        <w:t>Rob</w:t>
      </w:r>
      <w:proofErr w:type="spellEnd"/>
      <w:r w:rsidRPr="00806398">
        <w:t xml:space="preserve">-  Ilość dni roboczych przypadających dla profilu według, którego odbiorca jest </w:t>
      </w:r>
      <w:r w:rsidRPr="00806398">
        <w:br/>
        <w:t xml:space="preserve">                   rozliczany w okresie letnim lub zimowym</w:t>
      </w:r>
    </w:p>
    <w:p w:rsidR="000F6B32" w:rsidRPr="00806398" w:rsidRDefault="000F6B32" w:rsidP="000F6B32">
      <w:proofErr w:type="spellStart"/>
      <w:r w:rsidRPr="00806398">
        <w:t>W</w:t>
      </w:r>
      <w:r w:rsidRPr="00806398">
        <w:rPr>
          <w:vertAlign w:val="subscript"/>
        </w:rPr>
        <w:t>Rob</w:t>
      </w:r>
      <w:proofErr w:type="spellEnd"/>
      <w:r w:rsidRPr="00806398">
        <w:t>- Współczynnik dla dni roboczych (pozycja razem dla kolumny dzień roboczy)</w:t>
      </w:r>
    </w:p>
    <w:p w:rsidR="000F6B32" w:rsidRPr="00806398" w:rsidRDefault="000F6B32" w:rsidP="000F6B32">
      <w:proofErr w:type="spellStart"/>
      <w:r w:rsidRPr="00806398">
        <w:t>iL</w:t>
      </w:r>
      <w:r w:rsidRPr="00806398">
        <w:rPr>
          <w:vertAlign w:val="subscript"/>
        </w:rPr>
        <w:t>Sob</w:t>
      </w:r>
      <w:proofErr w:type="spellEnd"/>
      <w:r w:rsidRPr="00806398">
        <w:t xml:space="preserve">- Ilość sobót przypadających dla profilu według, którego odbiorca jest rozliczany w </w:t>
      </w:r>
      <w:r w:rsidRPr="00806398">
        <w:br/>
        <w:t xml:space="preserve">                  okresie letnim lub zimowym</w:t>
      </w:r>
    </w:p>
    <w:p w:rsidR="000F6B32" w:rsidRPr="00806398" w:rsidRDefault="000F6B32" w:rsidP="000F6B32">
      <w:proofErr w:type="spellStart"/>
      <w:r w:rsidRPr="00806398">
        <w:t>W</w:t>
      </w:r>
      <w:r w:rsidRPr="00806398">
        <w:rPr>
          <w:vertAlign w:val="subscript"/>
        </w:rPr>
        <w:t>Sob</w:t>
      </w:r>
      <w:proofErr w:type="spellEnd"/>
      <w:r w:rsidRPr="00806398">
        <w:t>- Współczynnik dla sobót (pozycja razem dla kolumny sobota)</w:t>
      </w:r>
    </w:p>
    <w:p w:rsidR="000F6B32" w:rsidRPr="00806398" w:rsidRDefault="000F6B32" w:rsidP="000F6B32">
      <w:proofErr w:type="spellStart"/>
      <w:r w:rsidRPr="00806398">
        <w:t>iL</w:t>
      </w:r>
      <w:r w:rsidRPr="00806398">
        <w:rPr>
          <w:vertAlign w:val="subscript"/>
        </w:rPr>
        <w:t>Św</w:t>
      </w:r>
      <w:proofErr w:type="spellEnd"/>
      <w:r w:rsidRPr="00806398">
        <w:t xml:space="preserve">- Ilość dni świątecznych przypadających dla profilu według, którego odbiorca jest </w:t>
      </w:r>
      <w:r w:rsidRPr="00806398">
        <w:br/>
        <w:t xml:space="preserve">                 rozliczany w okresie letnim lub zimowym</w:t>
      </w:r>
    </w:p>
    <w:p w:rsidR="000F6B32" w:rsidRPr="00806398" w:rsidRDefault="000F6B32" w:rsidP="000F6B32">
      <w:proofErr w:type="spellStart"/>
      <w:r w:rsidRPr="00806398">
        <w:t>W</w:t>
      </w:r>
      <w:r w:rsidRPr="00806398">
        <w:rPr>
          <w:vertAlign w:val="subscript"/>
        </w:rPr>
        <w:t>Św</w:t>
      </w:r>
      <w:proofErr w:type="spellEnd"/>
      <w:r w:rsidRPr="00806398">
        <w:t>- Współczynnik dla dni świątecznych (pozycja razem dla kolumny dzień świąteczny)</w:t>
      </w:r>
    </w:p>
    <w:p w:rsidR="000F6B32" w:rsidRPr="00806398" w:rsidRDefault="000F6B32" w:rsidP="000F6B32"/>
    <w:p w:rsidR="000F6B32" w:rsidRPr="00806398" w:rsidRDefault="000F6B32" w:rsidP="000F6B32">
      <w:pPr>
        <w:tabs>
          <w:tab w:val="clear" w:pos="4536"/>
          <w:tab w:val="clear" w:pos="9072"/>
        </w:tabs>
        <w:ind w:firstLine="0"/>
      </w:pPr>
      <w:r w:rsidRPr="00806398">
        <w:br w:type="page"/>
      </w:r>
    </w:p>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1 dla Profilu A</w:t>
      </w:r>
    </w:p>
    <w:p w:rsidR="000F6B32" w:rsidRPr="00806398" w:rsidRDefault="000F6B32" w:rsidP="000F6B32">
      <w:pPr>
        <w:tabs>
          <w:tab w:val="clear" w:pos="4536"/>
          <w:tab w:val="clear" w:pos="9072"/>
        </w:tabs>
        <w:ind w:firstLine="0"/>
      </w:pPr>
    </w:p>
    <w:tbl>
      <w:tblPr>
        <w:tblW w:w="7630" w:type="dxa"/>
        <w:jc w:val="center"/>
        <w:tblCellMar>
          <w:left w:w="70" w:type="dxa"/>
          <w:right w:w="70" w:type="dxa"/>
        </w:tblCellMar>
        <w:tblLook w:val="0000" w:firstRow="0" w:lastRow="0" w:firstColumn="0" w:lastColumn="0" w:noHBand="0" w:noVBand="0"/>
      </w:tblPr>
      <w:tblGrid>
        <w:gridCol w:w="960"/>
        <w:gridCol w:w="1120"/>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70" w:type="dxa"/>
            <w:gridSpan w:val="6"/>
            <w:tcBorders>
              <w:top w:val="single" w:sz="8" w:space="0" w:color="auto"/>
              <w:left w:val="nil"/>
              <w:bottom w:val="single" w:sz="4" w:space="0" w:color="auto"/>
              <w:right w:val="single" w:sz="8"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Profil A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rPr>
                <w:rFonts w:ascii="Arial" w:hAnsi="Arial" w:cs="Arial"/>
                <w:sz w:val="20"/>
              </w:rPr>
            </w:pPr>
          </w:p>
        </w:tc>
        <w:tc>
          <w:tcPr>
            <w:tcW w:w="3379"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rPr>
                <w:rFonts w:ascii="Arial" w:hAnsi="Arial" w:cs="Arial"/>
                <w:sz w:val="20"/>
              </w:rPr>
            </w:pPr>
          </w:p>
        </w:tc>
        <w:tc>
          <w:tcPr>
            <w:tcW w:w="112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0,0195548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0,0171988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0,0232400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0,0197540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0,0181272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0,0218300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0,0181189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0,0159359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0,0223200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0,0189720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0,0174096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3</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0,0245500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0,0203765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0,0179215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0,0237100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0,0201535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0,0184938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4</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0,0193556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0,0170236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0,0234200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0,0199070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0,0182676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5</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0,0231200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0,0191896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0,0168776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0,0231200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0,0196520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0,0180336</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6</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0,0259600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0,0215468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0,0189508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left="-4394" w:firstLine="0"/>
              <w:jc w:val="right"/>
              <w:rPr>
                <w:rFonts w:ascii="Arial" w:hAnsi="Arial" w:cs="Arial"/>
                <w:sz w:val="20"/>
              </w:rPr>
            </w:pPr>
            <w:r w:rsidRPr="00806398">
              <w:rPr>
                <w:rFonts w:ascii="Arial" w:hAnsi="Arial" w:cs="Arial"/>
                <w:sz w:val="20"/>
              </w:rPr>
              <w:t>0,0257600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0,0218960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0,0200928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7</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0,0247091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0,0217321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0,0310300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0,0263755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0,0242034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8</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0,0268256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0,0235936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0,0316500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0,0269025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0,0246870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9</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0,0320131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0,0281561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0,0378700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0,0321895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0,0295386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10</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0,0361631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0,0318061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0,0370260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0,0339768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11</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0,0434256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0,0381936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0,0543600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0,0462060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0,0424008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12</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0,0487900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0,0404957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0,0356167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0,0445700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0,0378845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0,0347646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13</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0,0510600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0,0423798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0,0372738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0,0510600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0,0434010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0,0398268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14</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0,0566400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0,0470112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0,0413472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0,0585700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0,0497845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0,0456846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15</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0,0634100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0,0526303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0,0462893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0,0659600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0,0560660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0,0514488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16</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0,0683400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0,0567222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0,0498882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0,0679300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0,0577405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0,0529854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17</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0,0598900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0,0497087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0,0437197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0,0587600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0,0499460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0,0458328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18</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0,0565400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0,0469282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0,0412742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0,0565700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0,0480845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0,0441246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19</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0,0512100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0,0425043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0,0373833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0,0523400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0,0444890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0,0408252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20</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0,0478495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0,0420845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0,0565400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0,0480590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0,0441012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21</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0,0475800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0,0394914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0,0347334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0,0476500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0,0405025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0,0371670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22</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0,0367100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0,0304693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0,0267983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0,0376600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0,0320110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0,0293748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23</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0,0354200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0,0293986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0,0258566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0,0343700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0,0292145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0,0268086</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jc w:val="center"/>
              <w:rPr>
                <w:rFonts w:ascii="Arial" w:hAnsi="Arial" w:cs="Arial"/>
                <w:sz w:val="20"/>
              </w:rPr>
            </w:pPr>
            <w:r w:rsidRPr="00806398">
              <w:rPr>
                <w:rFonts w:ascii="Arial" w:hAnsi="Arial" w:cs="Arial"/>
                <w:sz w:val="20"/>
              </w:rPr>
              <w:t>24</w:t>
            </w:r>
          </w:p>
        </w:tc>
        <w:tc>
          <w:tcPr>
            <w:tcW w:w="112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0,0278700</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0,0231321</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0,0203451</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0,0279800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0,0237830</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0,0218244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12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0,73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0,78</w:t>
            </w:r>
          </w:p>
        </w:tc>
      </w:tr>
      <w:tr w:rsidR="000F6B32" w:rsidRPr="00806398" w:rsidTr="003156B9">
        <w:trPr>
          <w:trHeight w:val="510"/>
          <w:jc w:val="center"/>
        </w:trPr>
        <w:tc>
          <w:tcPr>
            <w:tcW w:w="960" w:type="dxa"/>
            <w:tcBorders>
              <w:top w:val="nil"/>
              <w:left w:val="single" w:sz="8" w:space="0" w:color="auto"/>
              <w:bottom w:val="single" w:sz="8"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120"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8" w:space="0" w:color="auto"/>
              <w:right w:val="single" w:sz="8"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r>
    </w:tbl>
    <w:p w:rsidR="000F6B32" w:rsidRPr="00806398" w:rsidRDefault="000F6B32" w:rsidP="000F6B32"/>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2 dla Profilu B</w:t>
      </w:r>
    </w:p>
    <w:p w:rsidR="000F6B32" w:rsidRPr="00806398" w:rsidRDefault="000F6B32" w:rsidP="000F6B32">
      <w:pPr>
        <w:tabs>
          <w:tab w:val="clear" w:pos="4536"/>
          <w:tab w:val="clear" w:pos="9072"/>
        </w:tabs>
        <w:ind w:firstLine="0"/>
        <w:rPr>
          <w:rFonts w:ascii="Arial" w:hAnsi="Arial" w:cs="Arial"/>
          <w:sz w:val="20"/>
        </w:rPr>
      </w:pPr>
    </w:p>
    <w:tbl>
      <w:tblPr>
        <w:tblW w:w="7596" w:type="dxa"/>
        <w:jc w:val="center"/>
        <w:tblCellMar>
          <w:left w:w="70" w:type="dxa"/>
          <w:right w:w="70" w:type="dxa"/>
        </w:tblCellMar>
        <w:tblLook w:val="0000" w:firstRow="0" w:lastRow="0" w:firstColumn="0" w:lastColumn="0" w:noHBand="0" w:noVBand="0"/>
      </w:tblPr>
      <w:tblGrid>
        <w:gridCol w:w="960"/>
        <w:gridCol w:w="1086"/>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36" w:type="dxa"/>
            <w:gridSpan w:val="6"/>
            <w:tcBorders>
              <w:top w:val="single" w:sz="8" w:space="0" w:color="auto"/>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Profil B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3345"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0,0199750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0,0166850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0,0292400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0,0254388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0,0233920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0,0217000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0,0184450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0,0154070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0,0273200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0,0237684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0,0218560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0,0245400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0,0208590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0,0174234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0,0327100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0,0284577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0,0261680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0,0201875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0,0168625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0,0354200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0,0308154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0,0283360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0,0201705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0,0168483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0,0331200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0,0288144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0,0264960</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0,0334200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0,0284070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0,0237282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0,0357600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0,0311112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0,0286080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0,0253045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0,0211367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0,0393705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0,0342523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0,0314964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0,0322500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0,0274125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0,0228975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0,0399005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0,0347134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0,0319204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0,0327845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0,0273847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0,0421740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0,0366914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0,0337392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0,0385220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0,0321772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0,0450220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0,0391691</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0,0360176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0,0454100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0,0385985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0,0322411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0,0462030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0,0401966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0,0369624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0,0345300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0,0293505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0,0245163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0,0478800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0,0416556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0,0383040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0,0510600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0,0434010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0,0362526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0,0620900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0,0540183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0,0496720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0,0566400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0,0481440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0,0402144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0,0613100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0,0533397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0,0490480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0,0634100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0,0538985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0,0450211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0,0646400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0,0562368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0,0517120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0,0465460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0,0388796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0,0424100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0,0368967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0,0339280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0,0598900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0,0509065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0,0425219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0,0428600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0,0372882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0,0342880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0,0554700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0,0471495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0,0393837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0,0373600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0,0325032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0,0298880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0,0512100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0,0435285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0,0363591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0,0394700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0,0343389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0,0315760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0,0473025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0,0395115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0,0392700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0,0341649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0,0314160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0,0475800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0,0404430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0,0337818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0,0382000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0,0332340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0,0305600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0,0458700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0,0389895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0,0325677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0,0423400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0,0368358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0,0338720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0,0432300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0,0367455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0,0306933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0,0416700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0,0362529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0,0333360</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0,0387400</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0,0329290</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0,0275054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0,0342600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0,0298062</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0,027408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0,71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w:t>
            </w:r>
          </w:p>
        </w:tc>
      </w:tr>
      <w:tr w:rsidR="000F6B32" w:rsidRPr="00806398" w:rsidTr="003156B9">
        <w:trPr>
          <w:trHeight w:val="510"/>
          <w:jc w:val="center"/>
        </w:trPr>
        <w:tc>
          <w:tcPr>
            <w:tcW w:w="960" w:type="dxa"/>
            <w:tcBorders>
              <w:top w:val="nil"/>
              <w:left w:val="single" w:sz="8" w:space="0" w:color="auto"/>
              <w:bottom w:val="single" w:sz="8"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086"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8"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8" w:space="0" w:color="auto"/>
              <w:right w:val="single" w:sz="8"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r>
    </w:tbl>
    <w:p w:rsidR="000F6B32" w:rsidRPr="00806398" w:rsidRDefault="000F6B32" w:rsidP="000F6B32">
      <w:pPr>
        <w:tabs>
          <w:tab w:val="clear" w:pos="4536"/>
          <w:tab w:val="clear" w:pos="9072"/>
        </w:tabs>
        <w:ind w:firstLine="0"/>
      </w:pPr>
    </w:p>
    <w:p w:rsidR="000F6B32" w:rsidRDefault="000F6B32" w:rsidP="000F6B32">
      <w:pPr>
        <w:tabs>
          <w:tab w:val="clear" w:pos="4536"/>
          <w:tab w:val="clear" w:pos="9072"/>
        </w:tabs>
        <w:ind w:firstLine="0"/>
        <w:rPr>
          <w:rFonts w:ascii="Arial" w:hAnsi="Arial" w:cs="Arial"/>
          <w:sz w:val="20"/>
        </w:rPr>
      </w:pPr>
    </w:p>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3 dla Profilu C</w:t>
      </w:r>
    </w:p>
    <w:p w:rsidR="000F6B32" w:rsidRPr="00806398" w:rsidRDefault="000F6B32" w:rsidP="000F6B32">
      <w:pPr>
        <w:tabs>
          <w:tab w:val="clear" w:pos="4536"/>
          <w:tab w:val="clear" w:pos="9072"/>
        </w:tabs>
        <w:ind w:firstLine="0"/>
        <w:rPr>
          <w:rFonts w:ascii="Arial" w:hAnsi="Arial" w:cs="Arial"/>
          <w:sz w:val="20"/>
        </w:rPr>
      </w:pPr>
    </w:p>
    <w:tbl>
      <w:tblPr>
        <w:tblW w:w="7596" w:type="dxa"/>
        <w:jc w:val="center"/>
        <w:tblCellMar>
          <w:left w:w="70" w:type="dxa"/>
          <w:right w:w="70" w:type="dxa"/>
        </w:tblCellMar>
        <w:tblLook w:val="0000" w:firstRow="0" w:lastRow="0" w:firstColumn="0" w:lastColumn="0" w:noHBand="0" w:noVBand="0"/>
      </w:tblPr>
      <w:tblGrid>
        <w:gridCol w:w="960"/>
        <w:gridCol w:w="1086"/>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36" w:type="dxa"/>
            <w:gridSpan w:val="6"/>
            <w:tcBorders>
              <w:top w:val="single" w:sz="8" w:space="0" w:color="auto"/>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Profil C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3345"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0,0224800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0,0177592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0,0125888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0,0213500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0,0172935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0,0123830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0,0213800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0,0168902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0,0119728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0,0207600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0,0168156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0,0120408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0,0171904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0,0121856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0,0204300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0,0165483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0,0118494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0,0185966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0,0131824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0,0203200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0,0164592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0,0117856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0,0213400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0,0168586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0,0119504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0,0201200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0,0162972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0,0116696</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0,0247700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0,0195683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0,0138712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0,0227800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0,0184518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0,0132124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0,0375700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0,0296803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0,0210392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0,0389800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0,0315738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0,0226084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0,0382500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0,0302175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0,0214200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0,0437874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0,0354678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0,0253967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0,0428700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0,0338673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0,0240072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0,0455528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0,0368978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0,0264206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0,0447200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0,0353288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0,0250432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0,0588030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0,0476304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0,0341057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0,0455435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0,0322840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0,0584864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0,0473740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0,0339221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0,0460728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0,0326592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0,0588030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0,0476304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0,0341057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0,0455435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0,0322840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0,0599352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0,0485475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0,0347624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0,0464204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0,0329056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0,0634378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0,0513846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0,0367939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0,0623900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0,0492881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0,0349384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0,0671262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0,0543722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0,0389332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0,0658100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0,0519899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0,0368536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0,0671352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0,0543795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0,0389384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0,0687600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0,0543204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0,0385056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0,0666972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0,0540247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0,0386844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0,0523800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0,0413802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0,0293328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0,0438086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0,0354850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0,0254090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0,0408904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0,0289856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0,0442072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0,0358078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0,0256402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0,0360635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0,0255640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0,0402805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0,0326272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0,0233627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0,0326428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0,0231392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0,0387804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0,0314121</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0,0224926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0,0286700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0,0226493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0,0160552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0,0278020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0,0225196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0,0161252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0,0281300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0,0222227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0,0157528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0,0272861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0,0221017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0,0158259</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0,0240700</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0,0190153</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0,0134792</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0,0233310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0,0188981</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0,013532</w:t>
            </w:r>
          </w:p>
        </w:tc>
      </w:tr>
      <w:tr w:rsidR="000F6B32" w:rsidRPr="00806398" w:rsidTr="003156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0,79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0,58</w:t>
            </w:r>
          </w:p>
        </w:tc>
      </w:tr>
      <w:tr w:rsidR="000F6B32" w:rsidRPr="00806398" w:rsidTr="003156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r>
    </w:tbl>
    <w:p w:rsidR="000F6B32" w:rsidRDefault="000F6B32" w:rsidP="000F6B32">
      <w:pPr>
        <w:tabs>
          <w:tab w:val="clear" w:pos="4536"/>
          <w:tab w:val="clear" w:pos="9072"/>
        </w:tabs>
        <w:ind w:firstLine="0"/>
      </w:pPr>
    </w:p>
    <w:p w:rsidR="000F6B32" w:rsidRDefault="000F6B32" w:rsidP="000F6B32">
      <w:pPr>
        <w:tabs>
          <w:tab w:val="clear" w:pos="4536"/>
          <w:tab w:val="clear" w:pos="9072"/>
        </w:tabs>
        <w:ind w:firstLine="0"/>
        <w:rPr>
          <w:rFonts w:ascii="Arial" w:hAnsi="Arial" w:cs="Arial"/>
          <w:sz w:val="20"/>
        </w:rPr>
      </w:pPr>
    </w:p>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4 dla Profilu D</w:t>
      </w:r>
    </w:p>
    <w:p w:rsidR="000F6B32" w:rsidRPr="00806398" w:rsidRDefault="000F6B32" w:rsidP="000F6B32">
      <w:pPr>
        <w:tabs>
          <w:tab w:val="clear" w:pos="4536"/>
          <w:tab w:val="clear" w:pos="9072"/>
        </w:tabs>
        <w:ind w:firstLine="0"/>
        <w:rPr>
          <w:rFonts w:ascii="Arial" w:hAnsi="Arial" w:cs="Arial"/>
          <w:sz w:val="20"/>
        </w:rPr>
      </w:pPr>
    </w:p>
    <w:tbl>
      <w:tblPr>
        <w:tblW w:w="7596" w:type="dxa"/>
        <w:jc w:val="center"/>
        <w:tblCellMar>
          <w:left w:w="70" w:type="dxa"/>
          <w:right w:w="70" w:type="dxa"/>
        </w:tblCellMar>
        <w:tblLook w:val="0000" w:firstRow="0" w:lastRow="0" w:firstColumn="0" w:lastColumn="0" w:noHBand="0" w:noVBand="0"/>
      </w:tblPr>
      <w:tblGrid>
        <w:gridCol w:w="960"/>
        <w:gridCol w:w="1086"/>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36" w:type="dxa"/>
            <w:gridSpan w:val="6"/>
            <w:tcBorders>
              <w:top w:val="single" w:sz="8" w:space="0" w:color="auto"/>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Profil D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3345"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0,0180480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0,0128592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0,0244196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0,0175702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0,0208320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0,0166656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0,0118742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0,0280800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0,0230256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0,0165672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0,0235560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0,0188448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0,0134269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0,0306228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0,0251107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0,0180675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0,0228000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0,0182400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0,0129960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0,0336470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0,0275905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0,0198517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0,0190240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0,0135546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0,0309140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0,0253495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0,0182393</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0,0320820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0,0256656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0,0182867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0,0379700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0,0311354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0,0224023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0,0295790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0,0236632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0,0168600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0,0384527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0,0315312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0,0226871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0,0335400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0,0268320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0,0191178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0,0408500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0,0334970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0,0241015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0,0401120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0,0320896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0,0228638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0,0455524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0,0373530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0,0268759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0,0471320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0,0377056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0,0268652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0,0425187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0,0348654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0,0250860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0,0472260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0,0377808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0,0269188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0,0499590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0,0409664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0,0294758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0,0359100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0,0287280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0,0204687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0,0500596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0,0410488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0,0295351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0,0531020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0,0424816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0,0302681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0,0532100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0,0436322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0,0313939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0,0589050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0,0471240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0,0335759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0,0462890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0,0379570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0,0273105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0,0659430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0,0527544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0,0375875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0,0524300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0,0429926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0,0309337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0,0569500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0,0455600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0,0324615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0,0588150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0,0482283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0,0347009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0,0622850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0,0498280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0,0355025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0,0573670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0,0470409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0,0338465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0,0532510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0,0426008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0,0303531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0,0558022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0,0457578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0,0329233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0,0491210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0,0392968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0,0279990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0,0404700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0,0331854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0,0238773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0,0534240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0,0427392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0,0304517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0,0373310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0,0306114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0,0220253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0,0452250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0,0361800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0,0257783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0,0405020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0,0332116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0,0238962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0,0440350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0,0352280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0,0251000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0,0343710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0,0281842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0,0202789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0,0415000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0,0332000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0,0236550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0,0334666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0,0274426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0,0197453</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0,0371500</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0,0297200</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0,0211755</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0,0315400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0,0258628</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0,0186086</w:t>
            </w:r>
          </w:p>
        </w:tc>
      </w:tr>
      <w:tr w:rsidR="000F6B32" w:rsidRPr="00806398" w:rsidTr="003156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0,59</w:t>
            </w:r>
          </w:p>
        </w:tc>
      </w:tr>
      <w:tr w:rsidR="000F6B32" w:rsidRPr="00806398" w:rsidTr="003156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r>
    </w:tbl>
    <w:p w:rsidR="000F6B32" w:rsidRPr="00806398" w:rsidRDefault="000F6B32" w:rsidP="000F6B32">
      <w:pPr>
        <w:tabs>
          <w:tab w:val="clear" w:pos="4536"/>
          <w:tab w:val="clear" w:pos="9072"/>
        </w:tabs>
        <w:ind w:firstLine="0"/>
      </w:pPr>
    </w:p>
    <w:p w:rsidR="000F6B32" w:rsidRDefault="000F6B32" w:rsidP="000F6B32">
      <w:pPr>
        <w:tabs>
          <w:tab w:val="clear" w:pos="4536"/>
          <w:tab w:val="clear" w:pos="9072"/>
        </w:tabs>
        <w:ind w:firstLine="0"/>
        <w:rPr>
          <w:rFonts w:ascii="Arial" w:hAnsi="Arial" w:cs="Arial"/>
          <w:sz w:val="20"/>
        </w:rPr>
      </w:pPr>
    </w:p>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5 dla Profilu E</w:t>
      </w:r>
    </w:p>
    <w:p w:rsidR="000F6B32" w:rsidRPr="00806398" w:rsidRDefault="000F6B32" w:rsidP="000F6B32">
      <w:pPr>
        <w:tabs>
          <w:tab w:val="clear" w:pos="4536"/>
          <w:tab w:val="clear" w:pos="9072"/>
        </w:tabs>
        <w:ind w:firstLine="0"/>
        <w:rPr>
          <w:rFonts w:ascii="Arial" w:hAnsi="Arial" w:cs="Arial"/>
          <w:sz w:val="20"/>
        </w:rPr>
      </w:pPr>
    </w:p>
    <w:tbl>
      <w:tblPr>
        <w:tblpPr w:leftFromText="141" w:rightFromText="141" w:vertAnchor="text" w:tblpXSpec="center" w:tblpY="1"/>
        <w:tblOverlap w:val="never"/>
        <w:tblW w:w="7596" w:type="dxa"/>
        <w:jc w:val="center"/>
        <w:tblCellMar>
          <w:left w:w="70" w:type="dxa"/>
          <w:right w:w="70" w:type="dxa"/>
        </w:tblCellMar>
        <w:tblLook w:val="0000" w:firstRow="0" w:lastRow="0" w:firstColumn="0" w:lastColumn="0" w:noHBand="0" w:noVBand="0"/>
      </w:tblPr>
      <w:tblGrid>
        <w:gridCol w:w="960"/>
        <w:gridCol w:w="1086"/>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36" w:type="dxa"/>
            <w:gridSpan w:val="6"/>
            <w:tcBorders>
              <w:top w:val="single" w:sz="8" w:space="0" w:color="auto"/>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Profil E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3345"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0,0230300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0,0186543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0,0131271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0,0225694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0,0180555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0,0130903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0,0212660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0,0172255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0,0121216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0,0208407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0,0166725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0,0120876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0,0240492</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0,0194799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0,0137080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0,0235682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0,0188546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0,0136696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0,0232750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0,0188528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0,0132668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0,0228095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0,0182476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0,0132295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0,0232550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0,0188366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0,0132554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0,0227890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0,0182312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0,0132176</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0,0327510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0,0265283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0,0186681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0,0320960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0,0256768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0,0186157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0,0291700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0,0236277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0,0166269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0,0385866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0,0308693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0,0223802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0,0451500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0,0365715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0,0257355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0,0441500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0,0353200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0,0256070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0,0539600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0,0437076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0,0307572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0,0544520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0,0435616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0,0315822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0,0504480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0,0408629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0,0287554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0,0505376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0,0404301</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0,0293118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0,0435740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0,0352949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0,0248372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0,0422558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0,0338046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0,0245084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0,0338390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0,0274096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0,0192882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0,0431622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0,0345298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0,0250341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0,0400382</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0,0324309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0,0228218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0,0392374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0,0313899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0,0227577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0,0555072</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0,0449608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0,0316391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0,0543971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0,0435176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0,0315503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0,0521418</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0,0422349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0,0297208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0,0510990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0,0408792</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0,0296374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0,0536640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0,0434678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0,0305885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0,0525907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0,0420726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0,0305026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0,0586900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0,0475389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0,0334533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0,0575162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0,0460130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0,0333594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0,0542606</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0,0439511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0,0309285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0,0531754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0,0425403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0,0308417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0,0501858</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0,0406505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0,0286059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0,0491821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0,0393457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0,0285256</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0,0579100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0,0469071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0,0330087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0,0534920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0,0427936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0,0310254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0,0506120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0,0409957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0,0288488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0,0507344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0,0405875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0,0294260</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0,0449526</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0,0364116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0,0256230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0,0440535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0,0352428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0,0255511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0,0403654</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0,0326960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0,0230083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0,0395581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0,0316465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0,0229437</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0,0379052</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0,0307032</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0,0216060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0,0371471</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0,0297177</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0,0215453</w:t>
            </w:r>
          </w:p>
        </w:tc>
      </w:tr>
      <w:tr w:rsidR="000F6B32" w:rsidRPr="00806398" w:rsidTr="003156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0,58</w:t>
            </w:r>
          </w:p>
        </w:tc>
      </w:tr>
      <w:tr w:rsidR="000F6B32" w:rsidRPr="00806398" w:rsidTr="003156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r>
    </w:tbl>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pPr>
    </w:p>
    <w:p w:rsidR="000F6B32" w:rsidRPr="00806398" w:rsidRDefault="000F6B32" w:rsidP="000F6B32">
      <w:pPr>
        <w:tabs>
          <w:tab w:val="clear" w:pos="4536"/>
          <w:tab w:val="clear" w:pos="9072"/>
        </w:tabs>
        <w:ind w:firstLine="0"/>
        <w:rPr>
          <w:rFonts w:ascii="Arial" w:hAnsi="Arial" w:cs="Arial"/>
          <w:sz w:val="20"/>
        </w:rPr>
      </w:pPr>
      <w:r w:rsidRPr="00806398">
        <w:rPr>
          <w:rFonts w:ascii="Arial" w:hAnsi="Arial" w:cs="Arial"/>
          <w:sz w:val="20"/>
        </w:rPr>
        <w:lastRenderedPageBreak/>
        <w:t>Tabela 6 dla Profilu F</w:t>
      </w:r>
    </w:p>
    <w:p w:rsidR="000F6B32" w:rsidRPr="00806398" w:rsidRDefault="000F6B32" w:rsidP="000F6B32">
      <w:pPr>
        <w:tabs>
          <w:tab w:val="clear" w:pos="4536"/>
          <w:tab w:val="clear" w:pos="9072"/>
        </w:tabs>
        <w:ind w:firstLine="0"/>
        <w:rPr>
          <w:rFonts w:ascii="Arial" w:hAnsi="Arial" w:cs="Arial"/>
          <w:sz w:val="20"/>
        </w:rPr>
      </w:pPr>
    </w:p>
    <w:tbl>
      <w:tblPr>
        <w:tblW w:w="7596" w:type="dxa"/>
        <w:jc w:val="center"/>
        <w:tblCellMar>
          <w:left w:w="70" w:type="dxa"/>
          <w:right w:w="70" w:type="dxa"/>
        </w:tblCellMar>
        <w:tblLook w:val="0000" w:firstRow="0" w:lastRow="0" w:firstColumn="0" w:lastColumn="0" w:noHBand="0" w:noVBand="0"/>
      </w:tblPr>
      <w:tblGrid>
        <w:gridCol w:w="960"/>
        <w:gridCol w:w="1086"/>
        <w:gridCol w:w="1140"/>
        <w:gridCol w:w="1119"/>
        <w:gridCol w:w="1086"/>
        <w:gridCol w:w="1086"/>
        <w:gridCol w:w="1119"/>
      </w:tblGrid>
      <w:tr w:rsidR="000F6B32" w:rsidRPr="00806398" w:rsidTr="003156B9">
        <w:trPr>
          <w:trHeight w:val="255"/>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godzina doby</w:t>
            </w:r>
          </w:p>
        </w:tc>
        <w:tc>
          <w:tcPr>
            <w:tcW w:w="6636" w:type="dxa"/>
            <w:gridSpan w:val="6"/>
            <w:tcBorders>
              <w:top w:val="single" w:sz="8" w:space="0" w:color="auto"/>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Profil F w godzinie</w:t>
            </w:r>
          </w:p>
        </w:tc>
      </w:tr>
      <w:tr w:rsidR="000F6B32" w:rsidRPr="00806398" w:rsidTr="003156B9">
        <w:trPr>
          <w:trHeight w:val="27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3345" w:type="dxa"/>
            <w:gridSpan w:val="3"/>
            <w:tcBorders>
              <w:top w:val="nil"/>
              <w:left w:val="nil"/>
              <w:bottom w:val="single" w:sz="4" w:space="0" w:color="auto"/>
              <w:right w:val="single" w:sz="4"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lato</w:t>
            </w:r>
          </w:p>
        </w:tc>
        <w:tc>
          <w:tcPr>
            <w:tcW w:w="3291" w:type="dxa"/>
            <w:gridSpan w:val="3"/>
            <w:tcBorders>
              <w:top w:val="nil"/>
              <w:left w:val="nil"/>
              <w:bottom w:val="single" w:sz="4" w:space="0" w:color="auto"/>
              <w:right w:val="single" w:sz="8" w:space="0" w:color="000000"/>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zima</w:t>
            </w:r>
          </w:p>
        </w:tc>
      </w:tr>
      <w:tr w:rsidR="000F6B32" w:rsidRPr="00806398" w:rsidTr="003156B9">
        <w:trPr>
          <w:trHeight w:val="720"/>
          <w:jc w:val="center"/>
        </w:trPr>
        <w:tc>
          <w:tcPr>
            <w:tcW w:w="96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0F6B32" w:rsidRPr="00806398" w:rsidRDefault="000F6B32" w:rsidP="003156B9">
            <w:pPr>
              <w:ind w:firstLine="0"/>
              <w:rPr>
                <w:rFonts w:ascii="Arial" w:hAnsi="Arial" w:cs="Arial"/>
                <w:sz w:val="20"/>
              </w:rPr>
            </w:pP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140"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roboczy</w:t>
            </w:r>
          </w:p>
        </w:tc>
        <w:tc>
          <w:tcPr>
            <w:tcW w:w="1086" w:type="dxa"/>
            <w:tcBorders>
              <w:top w:val="nil"/>
              <w:left w:val="nil"/>
              <w:bottom w:val="single" w:sz="4" w:space="0" w:color="auto"/>
              <w:right w:val="single" w:sz="4"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sobota</w:t>
            </w:r>
          </w:p>
        </w:tc>
        <w:tc>
          <w:tcPr>
            <w:tcW w:w="1119" w:type="dxa"/>
            <w:tcBorders>
              <w:top w:val="nil"/>
              <w:left w:val="nil"/>
              <w:bottom w:val="single" w:sz="4" w:space="0" w:color="auto"/>
              <w:right w:val="single" w:sz="8" w:space="0" w:color="auto"/>
            </w:tcBorders>
            <w:shd w:val="clear" w:color="auto" w:fill="auto"/>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dzień świąteczny</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0,0235000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0,0195050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0,0145700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0,0278160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0,0225310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0,0178022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0,0217000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0,0180110</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0,0134540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0,0289152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0,0234213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0,0185057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0,0245400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0,0203682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0,0152148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0,0259116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0,0209884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0,0165834</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0,0197125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0,0147250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0,0250800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0,0203148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0,0160512</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0,0237300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0,0196959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0,0147126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0,0261580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0,0211880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0,0167411</w:t>
            </w:r>
          </w:p>
        </w:tc>
      </w:tr>
      <w:tr w:rsidR="000F6B32" w:rsidRPr="00806398" w:rsidTr="003156B9">
        <w:trPr>
          <w:trHeight w:val="270"/>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0,0334200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0,0277386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0,0207204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0,0352902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0,0285851</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0,0225857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0,0297700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0,0247091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0,0184574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0,0314952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0,0255111</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0,0201569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0,0322500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0,0267675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0,0199950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0,0345152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0,0279573</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0,0220897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0,0385700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0,0320131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0,0239134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0,0352986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0,0285918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0,0225911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0,0453200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0,0376156</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0,0280984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0,0414702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0,0335908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0,0265409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0,0454100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0,0376903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0,0281542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0,0415580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0,0336620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0,0265971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0,0345300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0,0286599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0,0214086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0,0316008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0,0255966</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0,0202245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0,0510600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0,0423798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0,0316572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0,0584122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0,0473139</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0,0373838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0,0566400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0,0470112</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0,0351168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0,0647955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0,0524844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0,0414691</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0,0634100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0,0526303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0,0393142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0,0655370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0,0530850</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0,0419437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0,0547600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0,0454508</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0,0339512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0,0626450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0,0507425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0,0400928</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17</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0,0598900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0,0497087</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0,0371318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0,0548108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0,0443967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0,0350789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18</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0,0554700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0,0460401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0,0343914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0,0468601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0,0379567</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0,0299905</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19</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0,0512100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0,0425043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0,0317502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0,0432265</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0,0350134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0,0276649</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0,0556500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0,0461895</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0,0345030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0,0470130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0,0380805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0,0300883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0,0475800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0,0394914</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0,0294996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0,0397980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0,0322364</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0,0254707</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0,0458700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0,0380721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0,0284394</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0,0460380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0,0372908</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0,0294643</w:t>
            </w:r>
          </w:p>
        </w:tc>
      </w:tr>
      <w:tr w:rsidR="000F6B32" w:rsidRPr="00806398" w:rsidTr="003156B9">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23</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0,0432300</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0,0358809</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0,0268026</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0,0451500</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0,0365715</w:t>
            </w:r>
          </w:p>
        </w:tc>
        <w:tc>
          <w:tcPr>
            <w:tcW w:w="1119" w:type="dxa"/>
            <w:tcBorders>
              <w:top w:val="nil"/>
              <w:left w:val="nil"/>
              <w:bottom w:val="single" w:sz="4"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0,0288960</w:t>
            </w:r>
          </w:p>
        </w:tc>
      </w:tr>
      <w:tr w:rsidR="000F6B32" w:rsidRPr="00806398" w:rsidTr="003156B9">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24</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0,0387400</w:t>
            </w:r>
          </w:p>
        </w:tc>
        <w:tc>
          <w:tcPr>
            <w:tcW w:w="1140"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0,0321542</w:t>
            </w:r>
          </w:p>
        </w:tc>
        <w:tc>
          <w:tcPr>
            <w:tcW w:w="1119"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rPr>
                <w:rFonts w:ascii="Arial" w:hAnsi="Arial" w:cs="Arial"/>
                <w:sz w:val="20"/>
              </w:rPr>
            </w:pPr>
            <w:r w:rsidRPr="00806398">
              <w:rPr>
                <w:rFonts w:ascii="Arial" w:hAnsi="Arial" w:cs="Arial"/>
                <w:sz w:val="20"/>
              </w:rPr>
              <w:t>0,0240188</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0,0406050</w:t>
            </w:r>
          </w:p>
        </w:tc>
        <w:tc>
          <w:tcPr>
            <w:tcW w:w="1086" w:type="dxa"/>
            <w:tcBorders>
              <w:top w:val="nil"/>
              <w:left w:val="nil"/>
              <w:bottom w:val="single" w:sz="8" w:space="0" w:color="auto"/>
              <w:right w:val="single" w:sz="4"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0,0328901</w:t>
            </w:r>
          </w:p>
        </w:tc>
        <w:tc>
          <w:tcPr>
            <w:tcW w:w="1119" w:type="dxa"/>
            <w:tcBorders>
              <w:top w:val="nil"/>
              <w:left w:val="nil"/>
              <w:bottom w:val="single" w:sz="8" w:space="0" w:color="auto"/>
              <w:right w:val="single" w:sz="8" w:space="0" w:color="auto"/>
            </w:tcBorders>
            <w:shd w:val="clear" w:color="auto" w:fill="auto"/>
            <w:noWrap/>
            <w:vAlign w:val="bottom"/>
          </w:tcPr>
          <w:p w:rsidR="000F6B32" w:rsidRPr="00806398" w:rsidRDefault="000F6B32" w:rsidP="003156B9">
            <w:pPr>
              <w:ind w:firstLine="0"/>
              <w:jc w:val="right"/>
              <w:rPr>
                <w:rFonts w:ascii="Arial" w:hAnsi="Arial" w:cs="Arial"/>
                <w:sz w:val="20"/>
              </w:rPr>
            </w:pPr>
            <w:r w:rsidRPr="00806398">
              <w:rPr>
                <w:rFonts w:ascii="Arial" w:hAnsi="Arial" w:cs="Arial"/>
                <w:sz w:val="20"/>
              </w:rPr>
              <w:t>0,0259872</w:t>
            </w:r>
          </w:p>
        </w:tc>
      </w:tr>
      <w:tr w:rsidR="000F6B32" w:rsidRPr="00806398" w:rsidTr="003156B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Razem</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140"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0,83</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0,62</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1</w:t>
            </w:r>
          </w:p>
        </w:tc>
        <w:tc>
          <w:tcPr>
            <w:tcW w:w="1086"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0,81</w:t>
            </w:r>
          </w:p>
        </w:tc>
        <w:tc>
          <w:tcPr>
            <w:tcW w:w="1119" w:type="dxa"/>
            <w:tcBorders>
              <w:top w:val="nil"/>
              <w:left w:val="nil"/>
              <w:bottom w:val="single" w:sz="4" w:space="0" w:color="auto"/>
              <w:right w:val="single" w:sz="4" w:space="0" w:color="auto"/>
            </w:tcBorders>
            <w:shd w:val="clear" w:color="auto" w:fill="auto"/>
            <w:noWrap/>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0,64</w:t>
            </w:r>
          </w:p>
        </w:tc>
      </w:tr>
      <w:tr w:rsidR="000F6B32" w:rsidTr="003156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0F6B32" w:rsidRPr="00806398" w:rsidRDefault="000F6B32" w:rsidP="003156B9">
            <w:pPr>
              <w:ind w:firstLine="0"/>
              <w:jc w:val="center"/>
              <w:rPr>
                <w:rFonts w:ascii="Arial" w:hAnsi="Arial" w:cs="Arial"/>
                <w:sz w:val="20"/>
              </w:rPr>
            </w:pPr>
            <w:r w:rsidRPr="00806398">
              <w:rPr>
                <w:rFonts w:ascii="Arial" w:hAnsi="Arial" w:cs="Arial"/>
                <w:sz w:val="20"/>
              </w:rPr>
              <w:t>liczba dni w roku</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125</w:t>
            </w:r>
          </w:p>
        </w:tc>
        <w:tc>
          <w:tcPr>
            <w:tcW w:w="1140"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40</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126</w:t>
            </w:r>
          </w:p>
        </w:tc>
        <w:tc>
          <w:tcPr>
            <w:tcW w:w="1086" w:type="dxa"/>
            <w:tcBorders>
              <w:top w:val="nil"/>
              <w:left w:val="nil"/>
              <w:bottom w:val="single" w:sz="4" w:space="0" w:color="auto"/>
              <w:right w:val="single" w:sz="4" w:space="0" w:color="auto"/>
            </w:tcBorders>
            <w:shd w:val="clear" w:color="auto" w:fill="auto"/>
            <w:noWrap/>
            <w:vAlign w:val="center"/>
          </w:tcPr>
          <w:p w:rsidR="000F6B32" w:rsidRPr="00806398" w:rsidRDefault="000F6B32" w:rsidP="003156B9">
            <w:pPr>
              <w:ind w:firstLine="0"/>
              <w:jc w:val="center"/>
              <w:rPr>
                <w:rFonts w:ascii="Arial" w:hAnsi="Arial" w:cs="Arial"/>
                <w:sz w:val="20"/>
              </w:rPr>
            </w:pPr>
            <w:r w:rsidRPr="00806398">
              <w:rPr>
                <w:rFonts w:ascii="Arial" w:hAnsi="Arial" w:cs="Arial"/>
                <w:sz w:val="20"/>
              </w:rPr>
              <w:t>26</w:t>
            </w:r>
          </w:p>
        </w:tc>
        <w:tc>
          <w:tcPr>
            <w:tcW w:w="1119" w:type="dxa"/>
            <w:tcBorders>
              <w:top w:val="nil"/>
              <w:left w:val="nil"/>
              <w:bottom w:val="single" w:sz="4" w:space="0" w:color="auto"/>
              <w:right w:val="single" w:sz="4" w:space="0" w:color="auto"/>
            </w:tcBorders>
            <w:shd w:val="clear" w:color="auto" w:fill="auto"/>
            <w:noWrap/>
            <w:vAlign w:val="center"/>
          </w:tcPr>
          <w:p w:rsidR="000F6B32" w:rsidRDefault="000F6B32" w:rsidP="003156B9">
            <w:pPr>
              <w:ind w:firstLine="0"/>
              <w:jc w:val="center"/>
              <w:rPr>
                <w:rFonts w:ascii="Arial" w:hAnsi="Arial" w:cs="Arial"/>
                <w:sz w:val="20"/>
              </w:rPr>
            </w:pPr>
            <w:r w:rsidRPr="00806398">
              <w:rPr>
                <w:rFonts w:ascii="Arial" w:hAnsi="Arial" w:cs="Arial"/>
                <w:sz w:val="20"/>
              </w:rPr>
              <w:t>22</w:t>
            </w:r>
          </w:p>
        </w:tc>
      </w:tr>
    </w:tbl>
    <w:p w:rsidR="00BE7D55" w:rsidRDefault="00BE7D55" w:rsidP="00123426">
      <w:pPr>
        <w:pStyle w:val="Tekstpodstawowy"/>
        <w:tabs>
          <w:tab w:val="clear" w:pos="4536"/>
          <w:tab w:val="clear" w:pos="9072"/>
        </w:tabs>
        <w:spacing w:line="240" w:lineRule="auto"/>
        <w:rPr>
          <w:rFonts w:ascii="TimesNewRoman" w:hAnsi="TimesNewRoman" w:cs="TimesNewRoman"/>
          <w:color w:val="auto"/>
          <w:szCs w:val="24"/>
        </w:rPr>
      </w:pPr>
    </w:p>
    <w:sectPr w:rsidR="00BE7D55" w:rsidSect="006E05FE">
      <w:headerReference w:type="default" r:id="rId27"/>
      <w:footerReference w:type="even" r:id="rId28"/>
      <w:footerReference w:type="default" r:id="rId29"/>
      <w:footerReference w:type="first" r:id="rId30"/>
      <w:pgSz w:w="11907" w:h="16840" w:code="9"/>
      <w:pgMar w:top="1418" w:right="1418" w:bottom="1418" w:left="1418" w:header="794"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5E" w:rsidRDefault="00005A5E">
      <w:r>
        <w:separator/>
      </w:r>
    </w:p>
  </w:endnote>
  <w:endnote w:type="continuationSeparator" w:id="0">
    <w:p w:rsidR="00005A5E" w:rsidRDefault="0000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12" w:rsidRDefault="00CB3A12" w:rsidP="007F63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B3A12" w:rsidRDefault="00CB3A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12" w:rsidRDefault="00CB3A12" w:rsidP="00946EE8">
    <w:pPr>
      <w:pStyle w:val="Stopka"/>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2988"/>
      <w:gridCol w:w="3132"/>
      <w:gridCol w:w="1402"/>
    </w:tblGrid>
    <w:tr w:rsidR="00CB3A12" w:rsidTr="00BC7BA9">
      <w:trPr>
        <w:cantSplit/>
      </w:trPr>
      <w:tc>
        <w:tcPr>
          <w:tcW w:w="5000" w:type="pct"/>
          <w:gridSpan w:val="4"/>
        </w:tcPr>
        <w:p w:rsidR="00CB3A12" w:rsidRPr="00CE0663" w:rsidRDefault="00CB3A12" w:rsidP="00BC7BA9">
          <w:pPr>
            <w:pStyle w:val="Nagwek"/>
            <w:spacing w:before="40" w:after="40"/>
            <w:jc w:val="center"/>
            <w:rPr>
              <w:rFonts w:ascii="Arial" w:hAnsi="Arial"/>
              <w:b/>
              <w:sz w:val="16"/>
              <w:szCs w:val="16"/>
            </w:rPr>
          </w:pPr>
          <w:proofErr w:type="spellStart"/>
          <w:r w:rsidRPr="00CE0663">
            <w:rPr>
              <w:rFonts w:ascii="Arial" w:hAnsi="Arial"/>
              <w:b/>
              <w:sz w:val="16"/>
              <w:szCs w:val="16"/>
            </w:rPr>
            <w:t>IRiES</w:t>
          </w:r>
          <w:r>
            <w:rPr>
              <w:rFonts w:ascii="Arial" w:hAnsi="Arial"/>
              <w:b/>
              <w:sz w:val="16"/>
              <w:szCs w:val="16"/>
            </w:rPr>
            <w:t>D</w:t>
          </w:r>
          <w:proofErr w:type="spellEnd"/>
          <w:r>
            <w:rPr>
              <w:rFonts w:ascii="Arial" w:hAnsi="Arial"/>
              <w:b/>
              <w:sz w:val="16"/>
              <w:szCs w:val="16"/>
            </w:rPr>
            <w:t> – Bilansowanie systemu dystrybucyjnego i zarządzanie ograniczeniami systemowymi</w:t>
          </w:r>
        </w:p>
      </w:tc>
    </w:tr>
    <w:tr w:rsidR="00CB3A12" w:rsidTr="00BC7BA9">
      <w:trPr>
        <w:cantSplit/>
      </w:trPr>
      <w:tc>
        <w:tcPr>
          <w:tcW w:w="917" w:type="pct"/>
        </w:tcPr>
        <w:p w:rsidR="00CB3A12" w:rsidRDefault="00CB3A12" w:rsidP="00BC7BA9">
          <w:pPr>
            <w:pStyle w:val="Nagwek"/>
            <w:spacing w:before="40" w:after="40"/>
            <w:rPr>
              <w:rFonts w:ascii="Arial" w:hAnsi="Arial"/>
              <w:sz w:val="14"/>
              <w:lang w:val="en-US"/>
            </w:rPr>
          </w:pPr>
          <w:r>
            <w:rPr>
              <w:rFonts w:ascii="Arial" w:hAnsi="Arial"/>
              <w:sz w:val="14"/>
              <w:lang w:val="en-US"/>
            </w:rPr>
            <w:t xml:space="preserve">data: </w:t>
          </w:r>
        </w:p>
      </w:tc>
      <w:tc>
        <w:tcPr>
          <w:tcW w:w="3322" w:type="pct"/>
          <w:gridSpan w:val="2"/>
        </w:tcPr>
        <w:p w:rsidR="00CB3A12" w:rsidRPr="00CE0663" w:rsidRDefault="00CB3A12" w:rsidP="00BC7BA9">
          <w:pPr>
            <w:pStyle w:val="Nagwek"/>
            <w:spacing w:before="40" w:after="40"/>
            <w:jc w:val="left"/>
            <w:rPr>
              <w:rFonts w:ascii="Arial" w:hAnsi="Arial"/>
              <w:sz w:val="14"/>
              <w:szCs w:val="14"/>
            </w:rPr>
          </w:pPr>
          <w:r>
            <w:rPr>
              <w:rFonts w:ascii="Arial" w:hAnsi="Arial"/>
              <w:sz w:val="14"/>
              <w:szCs w:val="14"/>
            </w:rPr>
            <w:t>w</w:t>
          </w:r>
          <w:r w:rsidRPr="00CE0663">
            <w:rPr>
              <w:rFonts w:ascii="Arial" w:hAnsi="Arial"/>
              <w:sz w:val="14"/>
              <w:szCs w:val="14"/>
            </w:rPr>
            <w:t xml:space="preserve">ersja </w:t>
          </w:r>
        </w:p>
      </w:tc>
      <w:tc>
        <w:tcPr>
          <w:tcW w:w="761" w:type="pct"/>
        </w:tcPr>
        <w:p w:rsidR="00CB3A12" w:rsidRDefault="00CB3A12" w:rsidP="00BC7BA9">
          <w:pPr>
            <w:pStyle w:val="Nagwek"/>
            <w:spacing w:before="40" w:after="40"/>
            <w:jc w:val="right"/>
            <w:rPr>
              <w:rFonts w:ascii="Arial" w:hAnsi="Arial"/>
              <w:sz w:val="14"/>
            </w:rPr>
          </w:pPr>
          <w:r>
            <w:rPr>
              <w:rFonts w:ascii="Arial" w:hAnsi="Arial"/>
              <w:snapToGrid w:val="0"/>
              <w:sz w:val="14"/>
            </w:rPr>
            <w:t xml:space="preserve">strona </w:t>
          </w:r>
          <w:r>
            <w:rPr>
              <w:rFonts w:ascii="Arial" w:hAnsi="Arial"/>
              <w:snapToGrid w:val="0"/>
              <w:sz w:val="14"/>
            </w:rPr>
            <w:fldChar w:fldCharType="begin"/>
          </w:r>
          <w:r>
            <w:rPr>
              <w:rFonts w:ascii="Arial" w:hAnsi="Arial"/>
              <w:snapToGrid w:val="0"/>
              <w:sz w:val="14"/>
            </w:rPr>
            <w:instrText xml:space="preserve"> PAGE </w:instrText>
          </w:r>
          <w:r>
            <w:rPr>
              <w:rFonts w:ascii="Arial" w:hAnsi="Arial"/>
              <w:snapToGrid w:val="0"/>
              <w:sz w:val="14"/>
            </w:rPr>
            <w:fldChar w:fldCharType="separate"/>
          </w:r>
          <w:r w:rsidR="001B46AB">
            <w:rPr>
              <w:rFonts w:ascii="Arial" w:hAnsi="Arial"/>
              <w:noProof/>
              <w:snapToGrid w:val="0"/>
              <w:sz w:val="14"/>
            </w:rPr>
            <w:t>17</w:t>
          </w:r>
          <w:r>
            <w:rPr>
              <w:rFonts w:ascii="Arial" w:hAnsi="Arial"/>
              <w:snapToGrid w:val="0"/>
              <w:sz w:val="14"/>
            </w:rPr>
            <w:fldChar w:fldCharType="end"/>
          </w:r>
          <w:r>
            <w:rPr>
              <w:rFonts w:ascii="Arial" w:hAnsi="Arial"/>
              <w:snapToGrid w:val="0"/>
              <w:sz w:val="14"/>
            </w:rPr>
            <w:t xml:space="preserve"> z </w:t>
          </w:r>
          <w:r>
            <w:rPr>
              <w:rFonts w:ascii="Arial" w:hAnsi="Arial"/>
              <w:snapToGrid w:val="0"/>
              <w:sz w:val="14"/>
            </w:rPr>
            <w:fldChar w:fldCharType="begin"/>
          </w:r>
          <w:r>
            <w:rPr>
              <w:rFonts w:ascii="Arial" w:hAnsi="Arial"/>
              <w:snapToGrid w:val="0"/>
              <w:sz w:val="14"/>
            </w:rPr>
            <w:instrText xml:space="preserve"> NUMPAGES </w:instrText>
          </w:r>
          <w:r>
            <w:rPr>
              <w:rFonts w:ascii="Arial" w:hAnsi="Arial"/>
              <w:snapToGrid w:val="0"/>
              <w:sz w:val="14"/>
            </w:rPr>
            <w:fldChar w:fldCharType="separate"/>
          </w:r>
          <w:r w:rsidR="001B46AB">
            <w:rPr>
              <w:rFonts w:ascii="Arial" w:hAnsi="Arial"/>
              <w:noProof/>
              <w:snapToGrid w:val="0"/>
              <w:sz w:val="14"/>
            </w:rPr>
            <w:t>44</w:t>
          </w:r>
          <w:r>
            <w:rPr>
              <w:rFonts w:ascii="Arial" w:hAnsi="Arial"/>
              <w:snapToGrid w:val="0"/>
              <w:sz w:val="14"/>
            </w:rPr>
            <w:fldChar w:fldCharType="end"/>
          </w:r>
        </w:p>
      </w:tc>
    </w:tr>
    <w:tr w:rsidR="00CB3A12" w:rsidTr="00BC7BA9">
      <w:trPr>
        <w:cantSplit/>
      </w:trPr>
      <w:tc>
        <w:tcPr>
          <w:tcW w:w="2539" w:type="pct"/>
          <w:gridSpan w:val="2"/>
        </w:tcPr>
        <w:p w:rsidR="00CB3A12" w:rsidRPr="0075589F" w:rsidRDefault="00CB3A12" w:rsidP="00BC7BA9">
          <w:pPr>
            <w:pStyle w:val="Nagwek"/>
            <w:spacing w:before="40" w:after="40"/>
            <w:jc w:val="left"/>
            <w:rPr>
              <w:rFonts w:ascii="Arial" w:hAnsi="Arial"/>
              <w:sz w:val="14"/>
              <w:szCs w:val="14"/>
            </w:rPr>
          </w:pPr>
          <w:r>
            <w:rPr>
              <w:rFonts w:ascii="Arial" w:hAnsi="Arial"/>
              <w:sz w:val="14"/>
              <w:szCs w:val="14"/>
            </w:rPr>
            <w:t>zatwierdzono:</w:t>
          </w:r>
        </w:p>
        <w:p w:rsidR="00CB3A12" w:rsidRDefault="00CB3A12" w:rsidP="00BC7BA9">
          <w:pPr>
            <w:pStyle w:val="Nagwek"/>
            <w:spacing w:before="40" w:after="40"/>
            <w:jc w:val="center"/>
            <w:rPr>
              <w:rFonts w:ascii="Arial" w:hAnsi="Arial"/>
              <w:b/>
              <w:sz w:val="18"/>
            </w:rPr>
          </w:pPr>
        </w:p>
      </w:tc>
      <w:tc>
        <w:tcPr>
          <w:tcW w:w="2461" w:type="pct"/>
          <w:gridSpan w:val="2"/>
        </w:tcPr>
        <w:p w:rsidR="00CB3A12" w:rsidRDefault="00CB3A12" w:rsidP="00BC7BA9">
          <w:pPr>
            <w:pStyle w:val="Nagwek"/>
            <w:spacing w:before="40" w:after="40"/>
            <w:jc w:val="right"/>
            <w:rPr>
              <w:rFonts w:ascii="Arial" w:hAnsi="Arial"/>
              <w:snapToGrid w:val="0"/>
              <w:sz w:val="14"/>
            </w:rPr>
          </w:pPr>
        </w:p>
      </w:tc>
    </w:tr>
  </w:tbl>
  <w:p w:rsidR="00CB3A12" w:rsidRDefault="00CB3A12" w:rsidP="00946EE8">
    <w:pPr>
      <w:pStyle w:val="Stopka"/>
      <w:pBdr>
        <w:top w:val="single" w:sz="4" w:space="1" w:color="auto"/>
      </w:pBdr>
      <w:tabs>
        <w:tab w:val="right" w:pos="14034"/>
      </w:tabs>
      <w:spacing w:before="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12" w:rsidRDefault="00CB3A12" w:rsidP="004430D8">
    <w:pPr>
      <w:pStyle w:val="Stopka"/>
      <w:spacing w:before="0"/>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5E" w:rsidRDefault="00005A5E">
      <w:r>
        <w:separator/>
      </w:r>
    </w:p>
  </w:footnote>
  <w:footnote w:type="continuationSeparator" w:id="0">
    <w:p w:rsidR="00005A5E" w:rsidRDefault="0000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12" w:rsidRDefault="00223DCB" w:rsidP="00754E4A">
    <w:pPr>
      <w:pStyle w:val="Nagwek"/>
      <w:pBdr>
        <w:bottom w:val="single" w:sz="6" w:space="1" w:color="auto"/>
      </w:pBdr>
      <w:tabs>
        <w:tab w:val="right" w:pos="14034"/>
      </w:tabs>
      <w:ind w:firstLine="0"/>
    </w:pPr>
    <w:r w:rsidRPr="00223DCB">
      <w:rPr>
        <w:i/>
        <w:sz w:val="20"/>
      </w:rPr>
      <w:t xml:space="preserve">Soda Polska CIECH </w:t>
    </w:r>
    <w:r w:rsidR="001B46AB">
      <w:rPr>
        <w:i/>
        <w:sz w:val="20"/>
      </w:rPr>
      <w:t>S.A.</w:t>
    </w:r>
    <w:r w:rsidR="00CB3A12">
      <w:rPr>
        <w:sz w:val="20"/>
      </w:rPr>
      <w:tab/>
    </w:r>
    <w:r w:rsidR="00CB3A12">
      <w:rPr>
        <w:sz w:val="20"/>
      </w:rPr>
      <w:tab/>
      <w:t>Instrukcja Ruchu i Eksploatacji Sieci Dystrybucyjnej</w:t>
    </w:r>
  </w:p>
  <w:p w:rsidR="00CB3A12" w:rsidRPr="00754E4A" w:rsidRDefault="00CB3A12" w:rsidP="00754E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26"/>
    <w:multiLevelType w:val="hybridMultilevel"/>
    <w:tmpl w:val="192CF958"/>
    <w:lvl w:ilvl="0" w:tplc="1B3AF88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
    <w:nsid w:val="01DB4DCC"/>
    <w:multiLevelType w:val="hybridMultilevel"/>
    <w:tmpl w:val="B712DC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50F4F"/>
    <w:multiLevelType w:val="hybridMultilevel"/>
    <w:tmpl w:val="C8EED23E"/>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5071834"/>
    <w:multiLevelType w:val="hybridMultilevel"/>
    <w:tmpl w:val="8580250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7586C85"/>
    <w:multiLevelType w:val="hybridMultilevel"/>
    <w:tmpl w:val="DA54522E"/>
    <w:lvl w:ilvl="0" w:tplc="FBE4E6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nsid w:val="07A02D3C"/>
    <w:multiLevelType w:val="hybridMultilevel"/>
    <w:tmpl w:val="1DFC99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FC4B9F"/>
    <w:multiLevelType w:val="hybridMultilevel"/>
    <w:tmpl w:val="0BE6CFDC"/>
    <w:lvl w:ilvl="0" w:tplc="04150011">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nsid w:val="13EB4E04"/>
    <w:multiLevelType w:val="hybridMultilevel"/>
    <w:tmpl w:val="7C9CE2D2"/>
    <w:lvl w:ilvl="0" w:tplc="92404234">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nsid w:val="180C311D"/>
    <w:multiLevelType w:val="hybridMultilevel"/>
    <w:tmpl w:val="CF1CE9C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12477E"/>
    <w:multiLevelType w:val="hybridMultilevel"/>
    <w:tmpl w:val="B4105BE8"/>
    <w:lvl w:ilvl="0" w:tplc="FBE4E6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nsid w:val="25CB0466"/>
    <w:multiLevelType w:val="hybridMultilevel"/>
    <w:tmpl w:val="BB82FE3A"/>
    <w:lvl w:ilvl="0" w:tplc="04150017">
      <w:start w:val="1"/>
      <w:numFmt w:val="lowerLetter"/>
      <w:lvlText w:val="%1)"/>
      <w:lvlJc w:val="left"/>
      <w:pPr>
        <w:tabs>
          <w:tab w:val="num" w:pos="360"/>
        </w:tabs>
        <w:ind w:left="360" w:hanging="360"/>
      </w:pPr>
      <w:rPr>
        <w:rFonts w:hint="default"/>
      </w:rPr>
    </w:lvl>
    <w:lvl w:ilvl="1" w:tplc="EA509E42"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27D540FE"/>
    <w:multiLevelType w:val="hybridMultilevel"/>
    <w:tmpl w:val="36B657B2"/>
    <w:lvl w:ilvl="0" w:tplc="04150017">
      <w:start w:val="1"/>
      <w:numFmt w:val="lowerLetter"/>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BB15AB6"/>
    <w:multiLevelType w:val="hybridMultilevel"/>
    <w:tmpl w:val="5E764AF0"/>
    <w:lvl w:ilvl="0" w:tplc="53FC4AEA">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E06B50"/>
    <w:multiLevelType w:val="multilevel"/>
    <w:tmpl w:val="E6365D62"/>
    <w:lvl w:ilvl="0">
      <w:start w:val="1"/>
      <w:numFmt w:val="lowerLetter"/>
      <w:lvlText w:val="%1)"/>
      <w:lvlJc w:val="left"/>
      <w:pPr>
        <w:tabs>
          <w:tab w:val="num" w:pos="495"/>
        </w:tabs>
        <w:ind w:left="495" w:hanging="495"/>
      </w:pPr>
      <w:rPr>
        <w:rFonts w:hint="default"/>
      </w:rPr>
    </w:lvl>
    <w:lvl w:ilvl="1">
      <w:start w:val="1"/>
      <w:numFmt w:val="bullet"/>
      <w:lvlText w:val=""/>
      <w:lvlJc w:val="left"/>
      <w:pPr>
        <w:tabs>
          <w:tab w:val="num" w:pos="720"/>
        </w:tabs>
        <w:ind w:left="720" w:hanging="720"/>
      </w:pPr>
      <w:rPr>
        <w:rFonts w:ascii="Symbol" w:hAnsi="Symbol" w:hint="default"/>
        <w:sz w:val="24"/>
        <w:szCs w:val="24"/>
      </w:rPr>
    </w:lvl>
    <w:lvl w:ilvl="2">
      <w:start w:val="1"/>
      <w:numFmt w:val="bullet"/>
      <w:lvlText w:val=""/>
      <w:lvlJc w:val="left"/>
      <w:pPr>
        <w:tabs>
          <w:tab w:val="num" w:pos="1353"/>
        </w:tabs>
        <w:ind w:left="1353" w:hanging="360"/>
      </w:pPr>
      <w:rPr>
        <w:rFonts w:ascii="Symbol" w:hAnsi="Symbol" w:hint="default"/>
        <w:color w:val="auto"/>
      </w:rPr>
    </w:lvl>
    <w:lvl w:ilvl="3">
      <w:start w:val="1"/>
      <w:numFmt w:val="bullet"/>
      <w:lvlText w:val=""/>
      <w:lvlJc w:val="left"/>
      <w:pPr>
        <w:tabs>
          <w:tab w:val="num" w:pos="1361"/>
        </w:tabs>
        <w:ind w:left="1361" w:hanging="227"/>
      </w:pPr>
      <w:rPr>
        <w:rFonts w:ascii="Symbol" w:hAnsi="Symbol" w:cs="Symbol" w:hint="default"/>
        <w:i w:val="0"/>
        <w:iCs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0332C7"/>
    <w:multiLevelType w:val="hybridMultilevel"/>
    <w:tmpl w:val="62A6135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2E0D5919"/>
    <w:multiLevelType w:val="hybridMultilevel"/>
    <w:tmpl w:val="C21654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EC3231A"/>
    <w:multiLevelType w:val="hybridMultilevel"/>
    <w:tmpl w:val="CF64C4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A2FCB"/>
    <w:multiLevelType w:val="hybridMultilevel"/>
    <w:tmpl w:val="528E927E"/>
    <w:lvl w:ilvl="0" w:tplc="92404234">
      <w:start w:val="1"/>
      <w:numFmt w:val="lowerLetter"/>
      <w:lvlText w:val="%1)"/>
      <w:lvlJc w:val="left"/>
      <w:pPr>
        <w:tabs>
          <w:tab w:val="num" w:pos="717"/>
        </w:tabs>
        <w:ind w:left="717" w:hanging="360"/>
      </w:pPr>
      <w:rPr>
        <w:rFonts w:hint="default"/>
        <w:b w:val="0"/>
        <w:i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18">
    <w:nsid w:val="3AF456F5"/>
    <w:multiLevelType w:val="hybridMultilevel"/>
    <w:tmpl w:val="5A7A6256"/>
    <w:lvl w:ilvl="0" w:tplc="21A870AC">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C413DF"/>
    <w:multiLevelType w:val="hybridMultilevel"/>
    <w:tmpl w:val="005067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10311B"/>
    <w:multiLevelType w:val="hybridMultilevel"/>
    <w:tmpl w:val="506A559E"/>
    <w:lvl w:ilvl="0" w:tplc="3506B022">
      <w:start w:val="1"/>
      <w:numFmt w:val="bullet"/>
      <w:lvlText w:val=""/>
      <w:lvlJc w:val="left"/>
      <w:pPr>
        <w:tabs>
          <w:tab w:val="num" w:pos="1697"/>
        </w:tabs>
        <w:ind w:left="1697" w:hanging="362"/>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38E546E"/>
    <w:multiLevelType w:val="hybridMultilevel"/>
    <w:tmpl w:val="797AA2DE"/>
    <w:lvl w:ilvl="0" w:tplc="2D64B010">
      <w:start w:val="1"/>
      <w:numFmt w:val="lowerLetter"/>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7640F40"/>
    <w:multiLevelType w:val="hybridMultilevel"/>
    <w:tmpl w:val="7638A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041761"/>
    <w:multiLevelType w:val="hybridMultilevel"/>
    <w:tmpl w:val="3C8ACE58"/>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AF42537"/>
    <w:multiLevelType w:val="hybridMultilevel"/>
    <w:tmpl w:val="B4105BE8"/>
    <w:lvl w:ilvl="0" w:tplc="FBE4E6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4CE4094B"/>
    <w:multiLevelType w:val="hybridMultilevel"/>
    <w:tmpl w:val="616612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847530"/>
    <w:multiLevelType w:val="hybridMultilevel"/>
    <w:tmpl w:val="2A24057E"/>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3F47938"/>
    <w:multiLevelType w:val="hybridMultilevel"/>
    <w:tmpl w:val="7188F4AA"/>
    <w:lvl w:ilvl="0" w:tplc="04150017">
      <w:start w:val="1"/>
      <w:numFmt w:val="lowerLetter"/>
      <w:lvlText w:val="%1)"/>
      <w:lvlJc w:val="left"/>
      <w:pPr>
        <w:tabs>
          <w:tab w:val="num" w:pos="360"/>
        </w:tabs>
        <w:ind w:left="360" w:hanging="360"/>
      </w:pPr>
      <w:rPr>
        <w:rFonts w:hint="default"/>
      </w:rPr>
    </w:lvl>
    <w:lvl w:ilvl="1" w:tplc="92404234"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nsid w:val="57C85704"/>
    <w:multiLevelType w:val="hybridMultilevel"/>
    <w:tmpl w:val="18608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0564AF"/>
    <w:multiLevelType w:val="hybridMultilevel"/>
    <w:tmpl w:val="0CEE87E6"/>
    <w:lvl w:ilvl="0" w:tplc="D152B22E">
      <w:start w:val="1"/>
      <w:numFmt w:val="lowerLetter"/>
      <w:lvlText w:val="%1)"/>
      <w:lvlJc w:val="right"/>
      <w:pPr>
        <w:tabs>
          <w:tab w:val="num" w:pos="420"/>
        </w:tabs>
        <w:ind w:left="420" w:hanging="17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0">
    <w:nsid w:val="5AFE1A68"/>
    <w:multiLevelType w:val="hybridMultilevel"/>
    <w:tmpl w:val="4DDA2F8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56105E2"/>
    <w:multiLevelType w:val="multilevel"/>
    <w:tmpl w:val="9594BF4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95B04D1"/>
    <w:multiLevelType w:val="hybridMultilevel"/>
    <w:tmpl w:val="0902F9C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13F82"/>
    <w:multiLevelType w:val="multilevel"/>
    <w:tmpl w:val="7E76199C"/>
    <w:lvl w:ilvl="0">
      <w:start w:val="1"/>
      <w:numFmt w:val="lowerLetter"/>
      <w:lvlText w:val="%1)"/>
      <w:lvlJc w:val="left"/>
      <w:pPr>
        <w:tabs>
          <w:tab w:val="num" w:pos="495"/>
        </w:tabs>
        <w:ind w:left="495" w:hanging="495"/>
      </w:pPr>
      <w:rPr>
        <w:rFonts w:hint="default"/>
      </w:rPr>
    </w:lvl>
    <w:lvl w:ilvl="1">
      <w:start w:val="1"/>
      <w:numFmt w:val="lowerLetter"/>
      <w:lvlText w:val="%2)"/>
      <w:lvlJc w:val="left"/>
      <w:pPr>
        <w:tabs>
          <w:tab w:val="num" w:pos="720"/>
        </w:tabs>
        <w:ind w:left="720" w:hanging="720"/>
      </w:pPr>
      <w:rPr>
        <w:rFonts w:hint="default"/>
        <w:sz w:val="24"/>
        <w:szCs w:val="24"/>
      </w:rPr>
    </w:lvl>
    <w:lvl w:ilvl="2">
      <w:start w:val="1"/>
      <w:numFmt w:val="lowerLetter"/>
      <w:lvlText w:val="%3)"/>
      <w:lvlJc w:val="left"/>
      <w:pPr>
        <w:tabs>
          <w:tab w:val="num" w:pos="1353"/>
        </w:tabs>
        <w:ind w:left="1353" w:hanging="360"/>
      </w:pPr>
      <w:rPr>
        <w:rFonts w:hint="default"/>
        <w:color w:val="auto"/>
      </w:rPr>
    </w:lvl>
    <w:lvl w:ilvl="3">
      <w:start w:val="1"/>
      <w:numFmt w:val="bullet"/>
      <w:lvlText w:val=""/>
      <w:lvlJc w:val="left"/>
      <w:pPr>
        <w:tabs>
          <w:tab w:val="num" w:pos="1361"/>
        </w:tabs>
        <w:ind w:left="1361" w:hanging="227"/>
      </w:pPr>
      <w:rPr>
        <w:rFonts w:ascii="Symbol" w:hAnsi="Symbol" w:cs="Symbol" w:hint="default"/>
        <w:i w:val="0"/>
        <w:iCs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C2E7375"/>
    <w:multiLevelType w:val="hybridMultilevel"/>
    <w:tmpl w:val="4232FE4A"/>
    <w:lvl w:ilvl="0" w:tplc="86584032">
      <w:start w:val="1"/>
      <w:numFmt w:val="lowerLetter"/>
      <w:lvlText w:val="%1)"/>
      <w:lvlJc w:val="left"/>
      <w:pPr>
        <w:tabs>
          <w:tab w:val="num" w:pos="360"/>
        </w:tabs>
        <w:ind w:left="360" w:hanging="360"/>
      </w:pPr>
      <w:rPr>
        <w:rFonts w:hint="default"/>
      </w:rPr>
    </w:lvl>
    <w:lvl w:ilvl="1" w:tplc="0DC0C77C" w:tentative="1">
      <w:start w:val="1"/>
      <w:numFmt w:val="lowerLetter"/>
      <w:lvlText w:val="%2."/>
      <w:lvlJc w:val="left"/>
      <w:pPr>
        <w:tabs>
          <w:tab w:val="num" w:pos="1080"/>
        </w:tabs>
        <w:ind w:left="1080" w:hanging="360"/>
      </w:pPr>
    </w:lvl>
    <w:lvl w:ilvl="2" w:tplc="9C2851BE" w:tentative="1">
      <w:start w:val="1"/>
      <w:numFmt w:val="lowerRoman"/>
      <w:lvlText w:val="%3."/>
      <w:lvlJc w:val="right"/>
      <w:pPr>
        <w:tabs>
          <w:tab w:val="num" w:pos="1800"/>
        </w:tabs>
        <w:ind w:left="1800" w:hanging="180"/>
      </w:pPr>
    </w:lvl>
    <w:lvl w:ilvl="3" w:tplc="47E80234" w:tentative="1">
      <w:start w:val="1"/>
      <w:numFmt w:val="decimal"/>
      <w:lvlText w:val="%4."/>
      <w:lvlJc w:val="left"/>
      <w:pPr>
        <w:tabs>
          <w:tab w:val="num" w:pos="2520"/>
        </w:tabs>
        <w:ind w:left="2520" w:hanging="360"/>
      </w:pPr>
    </w:lvl>
    <w:lvl w:ilvl="4" w:tplc="BC48C5DE" w:tentative="1">
      <w:start w:val="1"/>
      <w:numFmt w:val="lowerLetter"/>
      <w:lvlText w:val="%5."/>
      <w:lvlJc w:val="left"/>
      <w:pPr>
        <w:tabs>
          <w:tab w:val="num" w:pos="3240"/>
        </w:tabs>
        <w:ind w:left="3240" w:hanging="360"/>
      </w:pPr>
    </w:lvl>
    <w:lvl w:ilvl="5" w:tplc="5F36FBD4" w:tentative="1">
      <w:start w:val="1"/>
      <w:numFmt w:val="lowerRoman"/>
      <w:lvlText w:val="%6."/>
      <w:lvlJc w:val="right"/>
      <w:pPr>
        <w:tabs>
          <w:tab w:val="num" w:pos="3960"/>
        </w:tabs>
        <w:ind w:left="3960" w:hanging="180"/>
      </w:pPr>
    </w:lvl>
    <w:lvl w:ilvl="6" w:tplc="9A20312C" w:tentative="1">
      <w:start w:val="1"/>
      <w:numFmt w:val="decimal"/>
      <w:lvlText w:val="%7."/>
      <w:lvlJc w:val="left"/>
      <w:pPr>
        <w:tabs>
          <w:tab w:val="num" w:pos="4680"/>
        </w:tabs>
        <w:ind w:left="4680" w:hanging="360"/>
      </w:pPr>
    </w:lvl>
    <w:lvl w:ilvl="7" w:tplc="E89E9816" w:tentative="1">
      <w:start w:val="1"/>
      <w:numFmt w:val="lowerLetter"/>
      <w:lvlText w:val="%8."/>
      <w:lvlJc w:val="left"/>
      <w:pPr>
        <w:tabs>
          <w:tab w:val="num" w:pos="5400"/>
        </w:tabs>
        <w:ind w:left="5400" w:hanging="360"/>
      </w:pPr>
    </w:lvl>
    <w:lvl w:ilvl="8" w:tplc="2E84E4C8" w:tentative="1">
      <w:start w:val="1"/>
      <w:numFmt w:val="lowerRoman"/>
      <w:lvlText w:val="%9."/>
      <w:lvlJc w:val="right"/>
      <w:pPr>
        <w:tabs>
          <w:tab w:val="num" w:pos="6120"/>
        </w:tabs>
        <w:ind w:left="6120" w:hanging="180"/>
      </w:pPr>
    </w:lvl>
  </w:abstractNum>
  <w:abstractNum w:abstractNumId="35">
    <w:nsid w:val="6D633500"/>
    <w:multiLevelType w:val="multilevel"/>
    <w:tmpl w:val="9594BF4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132693C"/>
    <w:multiLevelType w:val="hybridMultilevel"/>
    <w:tmpl w:val="BB3A4228"/>
    <w:lvl w:ilvl="0" w:tplc="FA866D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2B1967"/>
    <w:multiLevelType w:val="hybridMultilevel"/>
    <w:tmpl w:val="B4105BE8"/>
    <w:lvl w:ilvl="0" w:tplc="6F78E42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nsid w:val="741B04A8"/>
    <w:multiLevelType w:val="hybridMultilevel"/>
    <w:tmpl w:val="7C9CE2D2"/>
    <w:lvl w:ilvl="0" w:tplc="EE804340">
      <w:start w:val="1"/>
      <w:numFmt w:val="lowerLetter"/>
      <w:lvlText w:val="%1)"/>
      <w:lvlJc w:val="left"/>
      <w:pPr>
        <w:tabs>
          <w:tab w:val="num" w:pos="360"/>
        </w:tabs>
        <w:ind w:left="360" w:hanging="360"/>
      </w:pPr>
      <w:rPr>
        <w:rFonts w:hint="default"/>
        <w:b w:val="0"/>
        <w:i w:val="0"/>
      </w:rPr>
    </w:lvl>
    <w:lvl w:ilvl="1" w:tplc="78F0256A" w:tentative="1">
      <w:start w:val="1"/>
      <w:numFmt w:val="lowerLetter"/>
      <w:lvlText w:val="%2."/>
      <w:lvlJc w:val="left"/>
      <w:pPr>
        <w:tabs>
          <w:tab w:val="num" w:pos="720"/>
        </w:tabs>
        <w:ind w:left="720" w:hanging="360"/>
      </w:pPr>
    </w:lvl>
    <w:lvl w:ilvl="2" w:tplc="CAC0A10E" w:tentative="1">
      <w:start w:val="1"/>
      <w:numFmt w:val="lowerRoman"/>
      <w:lvlText w:val="%3."/>
      <w:lvlJc w:val="right"/>
      <w:pPr>
        <w:tabs>
          <w:tab w:val="num" w:pos="1440"/>
        </w:tabs>
        <w:ind w:left="1440" w:hanging="180"/>
      </w:pPr>
    </w:lvl>
    <w:lvl w:ilvl="3" w:tplc="2C3EA7FE" w:tentative="1">
      <w:start w:val="1"/>
      <w:numFmt w:val="decimal"/>
      <w:lvlText w:val="%4."/>
      <w:lvlJc w:val="left"/>
      <w:pPr>
        <w:tabs>
          <w:tab w:val="num" w:pos="2160"/>
        </w:tabs>
        <w:ind w:left="2160" w:hanging="360"/>
      </w:pPr>
    </w:lvl>
    <w:lvl w:ilvl="4" w:tplc="2CD0B5F0" w:tentative="1">
      <w:start w:val="1"/>
      <w:numFmt w:val="lowerLetter"/>
      <w:lvlText w:val="%5."/>
      <w:lvlJc w:val="left"/>
      <w:pPr>
        <w:tabs>
          <w:tab w:val="num" w:pos="2880"/>
        </w:tabs>
        <w:ind w:left="2880" w:hanging="360"/>
      </w:pPr>
    </w:lvl>
    <w:lvl w:ilvl="5" w:tplc="4E8A8AE6" w:tentative="1">
      <w:start w:val="1"/>
      <w:numFmt w:val="lowerRoman"/>
      <w:lvlText w:val="%6."/>
      <w:lvlJc w:val="right"/>
      <w:pPr>
        <w:tabs>
          <w:tab w:val="num" w:pos="3600"/>
        </w:tabs>
        <w:ind w:left="3600" w:hanging="180"/>
      </w:pPr>
    </w:lvl>
    <w:lvl w:ilvl="6" w:tplc="324E52F4" w:tentative="1">
      <w:start w:val="1"/>
      <w:numFmt w:val="decimal"/>
      <w:lvlText w:val="%7."/>
      <w:lvlJc w:val="left"/>
      <w:pPr>
        <w:tabs>
          <w:tab w:val="num" w:pos="4320"/>
        </w:tabs>
        <w:ind w:left="4320" w:hanging="360"/>
      </w:pPr>
    </w:lvl>
    <w:lvl w:ilvl="7" w:tplc="B5143374" w:tentative="1">
      <w:start w:val="1"/>
      <w:numFmt w:val="lowerLetter"/>
      <w:lvlText w:val="%8."/>
      <w:lvlJc w:val="left"/>
      <w:pPr>
        <w:tabs>
          <w:tab w:val="num" w:pos="5040"/>
        </w:tabs>
        <w:ind w:left="5040" w:hanging="360"/>
      </w:pPr>
    </w:lvl>
    <w:lvl w:ilvl="8" w:tplc="6318E4D0" w:tentative="1">
      <w:start w:val="1"/>
      <w:numFmt w:val="lowerRoman"/>
      <w:lvlText w:val="%9."/>
      <w:lvlJc w:val="right"/>
      <w:pPr>
        <w:tabs>
          <w:tab w:val="num" w:pos="5760"/>
        </w:tabs>
        <w:ind w:left="5760" w:hanging="180"/>
      </w:pPr>
    </w:lvl>
  </w:abstractNum>
  <w:abstractNum w:abstractNumId="39">
    <w:nsid w:val="75F5114B"/>
    <w:multiLevelType w:val="hybridMultilevel"/>
    <w:tmpl w:val="2C926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649BB"/>
    <w:multiLevelType w:val="hybridMultilevel"/>
    <w:tmpl w:val="ACE446C2"/>
    <w:lvl w:ilvl="0" w:tplc="FBE4E608">
      <w:start w:val="1"/>
      <w:numFmt w:val="decimal"/>
      <w:lvlText w:val="%1)"/>
      <w:lvlJc w:val="left"/>
      <w:pPr>
        <w:tabs>
          <w:tab w:val="num" w:pos="484"/>
        </w:tabs>
        <w:ind w:left="484" w:hanging="48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CB6201"/>
    <w:multiLevelType w:val="hybridMultilevel"/>
    <w:tmpl w:val="E47888F6"/>
    <w:lvl w:ilvl="0" w:tplc="04150011">
      <w:start w:val="1"/>
      <w:numFmt w:val="lowerLetter"/>
      <w:lvlText w:val="%1)"/>
      <w:lvlJc w:val="left"/>
      <w:pPr>
        <w:tabs>
          <w:tab w:val="num" w:pos="909"/>
        </w:tabs>
        <w:ind w:left="909" w:hanging="450"/>
      </w:pPr>
      <w:rPr>
        <w:rFonts w:hint="default"/>
      </w:rPr>
    </w:lvl>
    <w:lvl w:ilvl="1" w:tplc="04150019" w:tentative="1">
      <w:start w:val="1"/>
      <w:numFmt w:val="lowerLetter"/>
      <w:lvlText w:val="%2."/>
      <w:lvlJc w:val="left"/>
      <w:pPr>
        <w:tabs>
          <w:tab w:val="num" w:pos="1539"/>
        </w:tabs>
        <w:ind w:left="1539" w:hanging="360"/>
      </w:pPr>
    </w:lvl>
    <w:lvl w:ilvl="2" w:tplc="0415001B" w:tentative="1">
      <w:start w:val="1"/>
      <w:numFmt w:val="lowerRoman"/>
      <w:lvlText w:val="%3."/>
      <w:lvlJc w:val="right"/>
      <w:pPr>
        <w:tabs>
          <w:tab w:val="num" w:pos="2259"/>
        </w:tabs>
        <w:ind w:left="2259" w:hanging="180"/>
      </w:pPr>
    </w:lvl>
    <w:lvl w:ilvl="3" w:tplc="0415000F" w:tentative="1">
      <w:start w:val="1"/>
      <w:numFmt w:val="decimal"/>
      <w:lvlText w:val="%4."/>
      <w:lvlJc w:val="left"/>
      <w:pPr>
        <w:tabs>
          <w:tab w:val="num" w:pos="2979"/>
        </w:tabs>
        <w:ind w:left="2979" w:hanging="360"/>
      </w:pPr>
    </w:lvl>
    <w:lvl w:ilvl="4" w:tplc="04150019" w:tentative="1">
      <w:start w:val="1"/>
      <w:numFmt w:val="lowerLetter"/>
      <w:lvlText w:val="%5."/>
      <w:lvlJc w:val="left"/>
      <w:pPr>
        <w:tabs>
          <w:tab w:val="num" w:pos="3699"/>
        </w:tabs>
        <w:ind w:left="3699" w:hanging="360"/>
      </w:pPr>
    </w:lvl>
    <w:lvl w:ilvl="5" w:tplc="0415001B" w:tentative="1">
      <w:start w:val="1"/>
      <w:numFmt w:val="lowerRoman"/>
      <w:lvlText w:val="%6."/>
      <w:lvlJc w:val="right"/>
      <w:pPr>
        <w:tabs>
          <w:tab w:val="num" w:pos="4419"/>
        </w:tabs>
        <w:ind w:left="4419" w:hanging="180"/>
      </w:pPr>
    </w:lvl>
    <w:lvl w:ilvl="6" w:tplc="0415000F" w:tentative="1">
      <w:start w:val="1"/>
      <w:numFmt w:val="decimal"/>
      <w:lvlText w:val="%7."/>
      <w:lvlJc w:val="left"/>
      <w:pPr>
        <w:tabs>
          <w:tab w:val="num" w:pos="5139"/>
        </w:tabs>
        <w:ind w:left="5139" w:hanging="360"/>
      </w:pPr>
    </w:lvl>
    <w:lvl w:ilvl="7" w:tplc="04150019" w:tentative="1">
      <w:start w:val="1"/>
      <w:numFmt w:val="lowerLetter"/>
      <w:lvlText w:val="%8."/>
      <w:lvlJc w:val="left"/>
      <w:pPr>
        <w:tabs>
          <w:tab w:val="num" w:pos="5859"/>
        </w:tabs>
        <w:ind w:left="5859" w:hanging="360"/>
      </w:pPr>
    </w:lvl>
    <w:lvl w:ilvl="8" w:tplc="0415001B" w:tentative="1">
      <w:start w:val="1"/>
      <w:numFmt w:val="lowerRoman"/>
      <w:lvlText w:val="%9."/>
      <w:lvlJc w:val="right"/>
      <w:pPr>
        <w:tabs>
          <w:tab w:val="num" w:pos="6579"/>
        </w:tabs>
        <w:ind w:left="6579" w:hanging="180"/>
      </w:pPr>
    </w:lvl>
  </w:abstractNum>
  <w:num w:numId="1">
    <w:abstractNumId w:val="11"/>
  </w:num>
  <w:num w:numId="2">
    <w:abstractNumId w:val="2"/>
  </w:num>
  <w:num w:numId="3">
    <w:abstractNumId w:val="27"/>
  </w:num>
  <w:num w:numId="4">
    <w:abstractNumId w:val="21"/>
  </w:num>
  <w:num w:numId="5">
    <w:abstractNumId w:val="34"/>
  </w:num>
  <w:num w:numId="6">
    <w:abstractNumId w:val="10"/>
  </w:num>
  <w:num w:numId="7">
    <w:abstractNumId w:val="7"/>
  </w:num>
  <w:num w:numId="8">
    <w:abstractNumId w:val="3"/>
  </w:num>
  <w:num w:numId="9">
    <w:abstractNumId w:val="31"/>
  </w:num>
  <w:num w:numId="10">
    <w:abstractNumId w:val="8"/>
  </w:num>
  <w:num w:numId="11">
    <w:abstractNumId w:val="13"/>
  </w:num>
  <w:num w:numId="12">
    <w:abstractNumId w:val="33"/>
  </w:num>
  <w:num w:numId="13">
    <w:abstractNumId w:val="23"/>
  </w:num>
  <w:num w:numId="14">
    <w:abstractNumId w:val="24"/>
  </w:num>
  <w:num w:numId="15">
    <w:abstractNumId w:val="0"/>
  </w:num>
  <w:num w:numId="16">
    <w:abstractNumId w:val="4"/>
  </w:num>
  <w:num w:numId="17">
    <w:abstractNumId w:val="17"/>
  </w:num>
  <w:num w:numId="18">
    <w:abstractNumId w:val="35"/>
  </w:num>
  <w:num w:numId="19">
    <w:abstractNumId w:val="41"/>
  </w:num>
  <w:num w:numId="20">
    <w:abstractNumId w:val="18"/>
  </w:num>
  <w:num w:numId="21">
    <w:abstractNumId w:val="29"/>
  </w:num>
  <w:num w:numId="22">
    <w:abstractNumId w:val="40"/>
  </w:num>
  <w:num w:numId="23">
    <w:abstractNumId w:val="25"/>
  </w:num>
  <w:num w:numId="24">
    <w:abstractNumId w:val="38"/>
  </w:num>
  <w:num w:numId="25">
    <w:abstractNumId w:val="6"/>
  </w:num>
  <w:num w:numId="26">
    <w:abstractNumId w:val="37"/>
  </w:num>
  <w:num w:numId="27">
    <w:abstractNumId w:val="9"/>
  </w:num>
  <w:num w:numId="28">
    <w:abstractNumId w:val="26"/>
  </w:num>
  <w:num w:numId="29">
    <w:abstractNumId w:val="36"/>
  </w:num>
  <w:num w:numId="30">
    <w:abstractNumId w:val="1"/>
  </w:num>
  <w:num w:numId="31">
    <w:abstractNumId w:val="16"/>
  </w:num>
  <w:num w:numId="32">
    <w:abstractNumId w:val="19"/>
  </w:num>
  <w:num w:numId="33">
    <w:abstractNumId w:val="28"/>
  </w:num>
  <w:num w:numId="34">
    <w:abstractNumId w:val="14"/>
  </w:num>
  <w:num w:numId="35">
    <w:abstractNumId w:val="5"/>
  </w:num>
  <w:num w:numId="36">
    <w:abstractNumId w:val="22"/>
  </w:num>
  <w:num w:numId="37">
    <w:abstractNumId w:val="39"/>
  </w:num>
  <w:num w:numId="38">
    <w:abstractNumId w:val="32"/>
  </w:num>
  <w:num w:numId="39">
    <w:abstractNumId w:val="12"/>
  </w:num>
  <w:num w:numId="40">
    <w:abstractNumId w:val="30"/>
  </w:num>
  <w:num w:numId="41">
    <w:abstractNumId w:val="15"/>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activeWritingStyle w:appName="MSWord" w:lang="en-GB" w:vendorID="8" w:dllVersion="513" w:checkStyle="1"/>
  <w:activeWritingStyle w:appName="MSWord" w:lang="en-US" w:vendorID="8" w:dllVersion="513" w:checkStyle="1"/>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24A"/>
    <w:rsid w:val="00000775"/>
    <w:rsid w:val="00001BCE"/>
    <w:rsid w:val="00001DCD"/>
    <w:rsid w:val="0000202A"/>
    <w:rsid w:val="000027CA"/>
    <w:rsid w:val="00002AE4"/>
    <w:rsid w:val="00003224"/>
    <w:rsid w:val="00005A5E"/>
    <w:rsid w:val="00005DE2"/>
    <w:rsid w:val="00005E2D"/>
    <w:rsid w:val="00010C25"/>
    <w:rsid w:val="00013335"/>
    <w:rsid w:val="000137CF"/>
    <w:rsid w:val="000142AA"/>
    <w:rsid w:val="000143E0"/>
    <w:rsid w:val="0001456D"/>
    <w:rsid w:val="000151E5"/>
    <w:rsid w:val="00015C15"/>
    <w:rsid w:val="00015E73"/>
    <w:rsid w:val="000177A6"/>
    <w:rsid w:val="00017809"/>
    <w:rsid w:val="00022D85"/>
    <w:rsid w:val="00022D9B"/>
    <w:rsid w:val="000242FB"/>
    <w:rsid w:val="00024777"/>
    <w:rsid w:val="00024C7D"/>
    <w:rsid w:val="00024D69"/>
    <w:rsid w:val="000250D4"/>
    <w:rsid w:val="000258C5"/>
    <w:rsid w:val="00025963"/>
    <w:rsid w:val="00025B0D"/>
    <w:rsid w:val="00025C4B"/>
    <w:rsid w:val="00026F2F"/>
    <w:rsid w:val="00027B8D"/>
    <w:rsid w:val="00027F1B"/>
    <w:rsid w:val="000311C4"/>
    <w:rsid w:val="000316AD"/>
    <w:rsid w:val="00031DB2"/>
    <w:rsid w:val="000320EB"/>
    <w:rsid w:val="00032368"/>
    <w:rsid w:val="000326D2"/>
    <w:rsid w:val="00033350"/>
    <w:rsid w:val="000333BA"/>
    <w:rsid w:val="0003344C"/>
    <w:rsid w:val="00033DC9"/>
    <w:rsid w:val="0003406F"/>
    <w:rsid w:val="00034237"/>
    <w:rsid w:val="000347DA"/>
    <w:rsid w:val="00034905"/>
    <w:rsid w:val="000349E7"/>
    <w:rsid w:val="0003516B"/>
    <w:rsid w:val="00035275"/>
    <w:rsid w:val="00035E52"/>
    <w:rsid w:val="000366F7"/>
    <w:rsid w:val="00037096"/>
    <w:rsid w:val="00037B40"/>
    <w:rsid w:val="000420DE"/>
    <w:rsid w:val="00045463"/>
    <w:rsid w:val="00046D0B"/>
    <w:rsid w:val="00050945"/>
    <w:rsid w:val="00051220"/>
    <w:rsid w:val="000516E3"/>
    <w:rsid w:val="000517F0"/>
    <w:rsid w:val="00052206"/>
    <w:rsid w:val="00053E41"/>
    <w:rsid w:val="00056A40"/>
    <w:rsid w:val="00060275"/>
    <w:rsid w:val="000603E4"/>
    <w:rsid w:val="00060460"/>
    <w:rsid w:val="00060789"/>
    <w:rsid w:val="000613E8"/>
    <w:rsid w:val="000623EE"/>
    <w:rsid w:val="00062C5F"/>
    <w:rsid w:val="00065416"/>
    <w:rsid w:val="00065C6B"/>
    <w:rsid w:val="00065FEF"/>
    <w:rsid w:val="0006624A"/>
    <w:rsid w:val="00066271"/>
    <w:rsid w:val="00067668"/>
    <w:rsid w:val="00070827"/>
    <w:rsid w:val="00071E61"/>
    <w:rsid w:val="00072B7D"/>
    <w:rsid w:val="000731A6"/>
    <w:rsid w:val="00073BB9"/>
    <w:rsid w:val="00074147"/>
    <w:rsid w:val="0007619A"/>
    <w:rsid w:val="00076276"/>
    <w:rsid w:val="00076846"/>
    <w:rsid w:val="0008068F"/>
    <w:rsid w:val="00080709"/>
    <w:rsid w:val="00081494"/>
    <w:rsid w:val="00081ABB"/>
    <w:rsid w:val="00081E9C"/>
    <w:rsid w:val="00083E2F"/>
    <w:rsid w:val="00084547"/>
    <w:rsid w:val="00085132"/>
    <w:rsid w:val="000853B1"/>
    <w:rsid w:val="00085E4C"/>
    <w:rsid w:val="00085ECC"/>
    <w:rsid w:val="00086BCB"/>
    <w:rsid w:val="00087F3C"/>
    <w:rsid w:val="00090EBA"/>
    <w:rsid w:val="0009119A"/>
    <w:rsid w:val="000912BA"/>
    <w:rsid w:val="0009151C"/>
    <w:rsid w:val="00092CDF"/>
    <w:rsid w:val="00093BFF"/>
    <w:rsid w:val="0009446D"/>
    <w:rsid w:val="00094859"/>
    <w:rsid w:val="00095D05"/>
    <w:rsid w:val="00097730"/>
    <w:rsid w:val="00097E1D"/>
    <w:rsid w:val="000A0658"/>
    <w:rsid w:val="000A0D23"/>
    <w:rsid w:val="000A0EBA"/>
    <w:rsid w:val="000A0FF3"/>
    <w:rsid w:val="000A155F"/>
    <w:rsid w:val="000A1BA8"/>
    <w:rsid w:val="000A1C6D"/>
    <w:rsid w:val="000A3E51"/>
    <w:rsid w:val="000A44FC"/>
    <w:rsid w:val="000A4CFA"/>
    <w:rsid w:val="000A4F1F"/>
    <w:rsid w:val="000A526C"/>
    <w:rsid w:val="000A5508"/>
    <w:rsid w:val="000A5919"/>
    <w:rsid w:val="000A5D04"/>
    <w:rsid w:val="000A64BA"/>
    <w:rsid w:val="000A659B"/>
    <w:rsid w:val="000A7095"/>
    <w:rsid w:val="000A7E62"/>
    <w:rsid w:val="000B10CD"/>
    <w:rsid w:val="000B1570"/>
    <w:rsid w:val="000B1B1D"/>
    <w:rsid w:val="000B1D2E"/>
    <w:rsid w:val="000B2AF4"/>
    <w:rsid w:val="000B2D7C"/>
    <w:rsid w:val="000B45AA"/>
    <w:rsid w:val="000B45ED"/>
    <w:rsid w:val="000B508D"/>
    <w:rsid w:val="000B5C5D"/>
    <w:rsid w:val="000B64F3"/>
    <w:rsid w:val="000C03FE"/>
    <w:rsid w:val="000C1CF6"/>
    <w:rsid w:val="000C5102"/>
    <w:rsid w:val="000C5B62"/>
    <w:rsid w:val="000C6316"/>
    <w:rsid w:val="000C6B93"/>
    <w:rsid w:val="000C732D"/>
    <w:rsid w:val="000D07F3"/>
    <w:rsid w:val="000D083C"/>
    <w:rsid w:val="000D0AD0"/>
    <w:rsid w:val="000D2805"/>
    <w:rsid w:val="000D28A6"/>
    <w:rsid w:val="000D49C3"/>
    <w:rsid w:val="000D52E5"/>
    <w:rsid w:val="000D53F0"/>
    <w:rsid w:val="000D6560"/>
    <w:rsid w:val="000D7B09"/>
    <w:rsid w:val="000D7BCD"/>
    <w:rsid w:val="000D7BEA"/>
    <w:rsid w:val="000E0176"/>
    <w:rsid w:val="000E1A16"/>
    <w:rsid w:val="000E1BB6"/>
    <w:rsid w:val="000E22EF"/>
    <w:rsid w:val="000E2B38"/>
    <w:rsid w:val="000E2E0D"/>
    <w:rsid w:val="000E341D"/>
    <w:rsid w:val="000E3F17"/>
    <w:rsid w:val="000E5956"/>
    <w:rsid w:val="000E59BE"/>
    <w:rsid w:val="000E73B1"/>
    <w:rsid w:val="000E7852"/>
    <w:rsid w:val="000F0B00"/>
    <w:rsid w:val="000F10F8"/>
    <w:rsid w:val="000F169A"/>
    <w:rsid w:val="000F1F82"/>
    <w:rsid w:val="000F2E03"/>
    <w:rsid w:val="000F32E6"/>
    <w:rsid w:val="000F543A"/>
    <w:rsid w:val="000F6B32"/>
    <w:rsid w:val="000F6B58"/>
    <w:rsid w:val="000F718B"/>
    <w:rsid w:val="000F73E2"/>
    <w:rsid w:val="000F7681"/>
    <w:rsid w:val="000F7D6C"/>
    <w:rsid w:val="001008BB"/>
    <w:rsid w:val="00100C22"/>
    <w:rsid w:val="00102C99"/>
    <w:rsid w:val="001056DB"/>
    <w:rsid w:val="00105DE8"/>
    <w:rsid w:val="001062C4"/>
    <w:rsid w:val="001109FE"/>
    <w:rsid w:val="0011182E"/>
    <w:rsid w:val="00114186"/>
    <w:rsid w:val="00114467"/>
    <w:rsid w:val="00115B0C"/>
    <w:rsid w:val="00115C9B"/>
    <w:rsid w:val="0011728F"/>
    <w:rsid w:val="001176D1"/>
    <w:rsid w:val="00120BAC"/>
    <w:rsid w:val="00121466"/>
    <w:rsid w:val="001233D9"/>
    <w:rsid w:val="00123426"/>
    <w:rsid w:val="001246FE"/>
    <w:rsid w:val="00124812"/>
    <w:rsid w:val="00125097"/>
    <w:rsid w:val="001256DD"/>
    <w:rsid w:val="00125D1A"/>
    <w:rsid w:val="001265C3"/>
    <w:rsid w:val="00126FFE"/>
    <w:rsid w:val="001272A4"/>
    <w:rsid w:val="00127B73"/>
    <w:rsid w:val="00127FFD"/>
    <w:rsid w:val="00130A39"/>
    <w:rsid w:val="00130F90"/>
    <w:rsid w:val="0013137F"/>
    <w:rsid w:val="00131775"/>
    <w:rsid w:val="00132006"/>
    <w:rsid w:val="001330D6"/>
    <w:rsid w:val="001349B5"/>
    <w:rsid w:val="00134EAE"/>
    <w:rsid w:val="00135121"/>
    <w:rsid w:val="00135732"/>
    <w:rsid w:val="00135B2E"/>
    <w:rsid w:val="00135B34"/>
    <w:rsid w:val="00135C7F"/>
    <w:rsid w:val="00136671"/>
    <w:rsid w:val="001367A1"/>
    <w:rsid w:val="00136FC5"/>
    <w:rsid w:val="00137705"/>
    <w:rsid w:val="00140618"/>
    <w:rsid w:val="00140724"/>
    <w:rsid w:val="0014185C"/>
    <w:rsid w:val="001419C9"/>
    <w:rsid w:val="00142877"/>
    <w:rsid w:val="00143F2D"/>
    <w:rsid w:val="0014472A"/>
    <w:rsid w:val="00144FD1"/>
    <w:rsid w:val="0014595C"/>
    <w:rsid w:val="00146F61"/>
    <w:rsid w:val="00147C75"/>
    <w:rsid w:val="00147C7C"/>
    <w:rsid w:val="00150053"/>
    <w:rsid w:val="00150EA9"/>
    <w:rsid w:val="00151E9A"/>
    <w:rsid w:val="00152CD3"/>
    <w:rsid w:val="00152EEF"/>
    <w:rsid w:val="00152F9E"/>
    <w:rsid w:val="001530C6"/>
    <w:rsid w:val="00153126"/>
    <w:rsid w:val="00153AC0"/>
    <w:rsid w:val="001547D2"/>
    <w:rsid w:val="00154815"/>
    <w:rsid w:val="00154941"/>
    <w:rsid w:val="001556F5"/>
    <w:rsid w:val="00155C79"/>
    <w:rsid w:val="001565E7"/>
    <w:rsid w:val="00156FD1"/>
    <w:rsid w:val="001604CA"/>
    <w:rsid w:val="00162370"/>
    <w:rsid w:val="00163DAC"/>
    <w:rsid w:val="001645BE"/>
    <w:rsid w:val="001655FE"/>
    <w:rsid w:val="00165DB1"/>
    <w:rsid w:val="0016707B"/>
    <w:rsid w:val="00167B1D"/>
    <w:rsid w:val="00170180"/>
    <w:rsid w:val="00170586"/>
    <w:rsid w:val="00171131"/>
    <w:rsid w:val="001713A9"/>
    <w:rsid w:val="00171BEC"/>
    <w:rsid w:val="00172195"/>
    <w:rsid w:val="0017248F"/>
    <w:rsid w:val="00172B85"/>
    <w:rsid w:val="00173B23"/>
    <w:rsid w:val="00174166"/>
    <w:rsid w:val="001741FF"/>
    <w:rsid w:val="0017432C"/>
    <w:rsid w:val="00174B9E"/>
    <w:rsid w:val="00174BA9"/>
    <w:rsid w:val="0018012D"/>
    <w:rsid w:val="00180899"/>
    <w:rsid w:val="00180FB5"/>
    <w:rsid w:val="0018138C"/>
    <w:rsid w:val="001814FD"/>
    <w:rsid w:val="0018297A"/>
    <w:rsid w:val="001836BF"/>
    <w:rsid w:val="00184439"/>
    <w:rsid w:val="00185304"/>
    <w:rsid w:val="00185402"/>
    <w:rsid w:val="00185566"/>
    <w:rsid w:val="001859AF"/>
    <w:rsid w:val="00186D72"/>
    <w:rsid w:val="00187115"/>
    <w:rsid w:val="00187275"/>
    <w:rsid w:val="00190DE7"/>
    <w:rsid w:val="00191232"/>
    <w:rsid w:val="001918CB"/>
    <w:rsid w:val="0019234A"/>
    <w:rsid w:val="001931BD"/>
    <w:rsid w:val="00193240"/>
    <w:rsid w:val="0019337F"/>
    <w:rsid w:val="00194021"/>
    <w:rsid w:val="0019451B"/>
    <w:rsid w:val="001945A9"/>
    <w:rsid w:val="00194E60"/>
    <w:rsid w:val="001968CB"/>
    <w:rsid w:val="001A1824"/>
    <w:rsid w:val="001A255F"/>
    <w:rsid w:val="001A2A77"/>
    <w:rsid w:val="001A35C6"/>
    <w:rsid w:val="001A467B"/>
    <w:rsid w:val="001A4961"/>
    <w:rsid w:val="001A5249"/>
    <w:rsid w:val="001A5D4A"/>
    <w:rsid w:val="001A7D35"/>
    <w:rsid w:val="001B09F0"/>
    <w:rsid w:val="001B0C47"/>
    <w:rsid w:val="001B15DE"/>
    <w:rsid w:val="001B22A6"/>
    <w:rsid w:val="001B2BBB"/>
    <w:rsid w:val="001B2E91"/>
    <w:rsid w:val="001B2F7B"/>
    <w:rsid w:val="001B316A"/>
    <w:rsid w:val="001B3615"/>
    <w:rsid w:val="001B46AB"/>
    <w:rsid w:val="001B52AE"/>
    <w:rsid w:val="001B576A"/>
    <w:rsid w:val="001B5878"/>
    <w:rsid w:val="001B5BE8"/>
    <w:rsid w:val="001B6032"/>
    <w:rsid w:val="001B6550"/>
    <w:rsid w:val="001B67C3"/>
    <w:rsid w:val="001B7752"/>
    <w:rsid w:val="001B7BA3"/>
    <w:rsid w:val="001C0098"/>
    <w:rsid w:val="001C0752"/>
    <w:rsid w:val="001C0C95"/>
    <w:rsid w:val="001C2E0C"/>
    <w:rsid w:val="001C39CD"/>
    <w:rsid w:val="001C3AFD"/>
    <w:rsid w:val="001C3BE5"/>
    <w:rsid w:val="001C576A"/>
    <w:rsid w:val="001C5D55"/>
    <w:rsid w:val="001C5FFF"/>
    <w:rsid w:val="001C66E8"/>
    <w:rsid w:val="001C6B0B"/>
    <w:rsid w:val="001C7DA3"/>
    <w:rsid w:val="001D03B3"/>
    <w:rsid w:val="001D06EB"/>
    <w:rsid w:val="001D0BFF"/>
    <w:rsid w:val="001D0CE4"/>
    <w:rsid w:val="001D2182"/>
    <w:rsid w:val="001D3531"/>
    <w:rsid w:val="001D48D4"/>
    <w:rsid w:val="001D5D96"/>
    <w:rsid w:val="001D625E"/>
    <w:rsid w:val="001D718F"/>
    <w:rsid w:val="001D7CB8"/>
    <w:rsid w:val="001E0F68"/>
    <w:rsid w:val="001E3C3C"/>
    <w:rsid w:val="001E5252"/>
    <w:rsid w:val="001E5B84"/>
    <w:rsid w:val="001E5F34"/>
    <w:rsid w:val="001E69F8"/>
    <w:rsid w:val="001E6BD6"/>
    <w:rsid w:val="001E7406"/>
    <w:rsid w:val="001E74CD"/>
    <w:rsid w:val="001F0A1D"/>
    <w:rsid w:val="001F10B7"/>
    <w:rsid w:val="001F21B7"/>
    <w:rsid w:val="001F2B13"/>
    <w:rsid w:val="001F3330"/>
    <w:rsid w:val="001F3731"/>
    <w:rsid w:val="001F397B"/>
    <w:rsid w:val="001F3E7C"/>
    <w:rsid w:val="001F43F0"/>
    <w:rsid w:val="001F5197"/>
    <w:rsid w:val="001F5E31"/>
    <w:rsid w:val="001F76F4"/>
    <w:rsid w:val="001F78E8"/>
    <w:rsid w:val="002019B4"/>
    <w:rsid w:val="00201E5F"/>
    <w:rsid w:val="0020233B"/>
    <w:rsid w:val="00202A7A"/>
    <w:rsid w:val="00205556"/>
    <w:rsid w:val="00206F3D"/>
    <w:rsid w:val="00206FCF"/>
    <w:rsid w:val="00207E84"/>
    <w:rsid w:val="00210B57"/>
    <w:rsid w:val="00212205"/>
    <w:rsid w:val="00212D59"/>
    <w:rsid w:val="002138D3"/>
    <w:rsid w:val="00213D28"/>
    <w:rsid w:val="00213DA2"/>
    <w:rsid w:val="00214F40"/>
    <w:rsid w:val="00214F95"/>
    <w:rsid w:val="0021548B"/>
    <w:rsid w:val="002155C3"/>
    <w:rsid w:val="00216244"/>
    <w:rsid w:val="002162A4"/>
    <w:rsid w:val="00216809"/>
    <w:rsid w:val="00216B81"/>
    <w:rsid w:val="00216BE0"/>
    <w:rsid w:val="002173B0"/>
    <w:rsid w:val="00220914"/>
    <w:rsid w:val="00221517"/>
    <w:rsid w:val="002215C2"/>
    <w:rsid w:val="0022202E"/>
    <w:rsid w:val="0022297E"/>
    <w:rsid w:val="00222FC9"/>
    <w:rsid w:val="00223913"/>
    <w:rsid w:val="00223DCB"/>
    <w:rsid w:val="00224255"/>
    <w:rsid w:val="00224AAF"/>
    <w:rsid w:val="00224DAB"/>
    <w:rsid w:val="00224E22"/>
    <w:rsid w:val="00225BF4"/>
    <w:rsid w:val="002266E8"/>
    <w:rsid w:val="00227F22"/>
    <w:rsid w:val="002302D2"/>
    <w:rsid w:val="002305EC"/>
    <w:rsid w:val="00233013"/>
    <w:rsid w:val="00233EEE"/>
    <w:rsid w:val="00235EDB"/>
    <w:rsid w:val="002368B6"/>
    <w:rsid w:val="0024019F"/>
    <w:rsid w:val="002403E8"/>
    <w:rsid w:val="002410A8"/>
    <w:rsid w:val="00241A9F"/>
    <w:rsid w:val="0024233E"/>
    <w:rsid w:val="00242B68"/>
    <w:rsid w:val="002448F8"/>
    <w:rsid w:val="00245D5E"/>
    <w:rsid w:val="0024654E"/>
    <w:rsid w:val="0024681F"/>
    <w:rsid w:val="0024721F"/>
    <w:rsid w:val="002473F4"/>
    <w:rsid w:val="00247768"/>
    <w:rsid w:val="0025091E"/>
    <w:rsid w:val="00251613"/>
    <w:rsid w:val="00251E98"/>
    <w:rsid w:val="00252DC3"/>
    <w:rsid w:val="0025331A"/>
    <w:rsid w:val="0025650F"/>
    <w:rsid w:val="0025660C"/>
    <w:rsid w:val="00256712"/>
    <w:rsid w:val="00257410"/>
    <w:rsid w:val="0026241C"/>
    <w:rsid w:val="00262BE0"/>
    <w:rsid w:val="002633D9"/>
    <w:rsid w:val="00263A3E"/>
    <w:rsid w:val="00263BFF"/>
    <w:rsid w:val="00264AEC"/>
    <w:rsid w:val="002651D2"/>
    <w:rsid w:val="00266090"/>
    <w:rsid w:val="0026681F"/>
    <w:rsid w:val="0026688E"/>
    <w:rsid w:val="00266E73"/>
    <w:rsid w:val="00267B37"/>
    <w:rsid w:val="00267FBB"/>
    <w:rsid w:val="002705C8"/>
    <w:rsid w:val="00272D48"/>
    <w:rsid w:val="00272F02"/>
    <w:rsid w:val="00273BF0"/>
    <w:rsid w:val="00273D2C"/>
    <w:rsid w:val="00274EBE"/>
    <w:rsid w:val="002756BD"/>
    <w:rsid w:val="00276880"/>
    <w:rsid w:val="00277D32"/>
    <w:rsid w:val="0028146E"/>
    <w:rsid w:val="002820A5"/>
    <w:rsid w:val="002823EF"/>
    <w:rsid w:val="002824AF"/>
    <w:rsid w:val="0028269D"/>
    <w:rsid w:val="00282D8D"/>
    <w:rsid w:val="00284376"/>
    <w:rsid w:val="00284E15"/>
    <w:rsid w:val="00291647"/>
    <w:rsid w:val="0029343C"/>
    <w:rsid w:val="00293646"/>
    <w:rsid w:val="00293E73"/>
    <w:rsid w:val="00294542"/>
    <w:rsid w:val="002952B1"/>
    <w:rsid w:val="00295614"/>
    <w:rsid w:val="00296106"/>
    <w:rsid w:val="00296870"/>
    <w:rsid w:val="00296CB3"/>
    <w:rsid w:val="00297320"/>
    <w:rsid w:val="002A12C5"/>
    <w:rsid w:val="002A21D2"/>
    <w:rsid w:val="002A4505"/>
    <w:rsid w:val="002A4516"/>
    <w:rsid w:val="002A5249"/>
    <w:rsid w:val="002A5E31"/>
    <w:rsid w:val="002A65E3"/>
    <w:rsid w:val="002A67C1"/>
    <w:rsid w:val="002A6A44"/>
    <w:rsid w:val="002B165D"/>
    <w:rsid w:val="002B1CC5"/>
    <w:rsid w:val="002B1DEF"/>
    <w:rsid w:val="002B360E"/>
    <w:rsid w:val="002B3948"/>
    <w:rsid w:val="002B44A3"/>
    <w:rsid w:val="002B52BD"/>
    <w:rsid w:val="002B5635"/>
    <w:rsid w:val="002B7B63"/>
    <w:rsid w:val="002B7B9F"/>
    <w:rsid w:val="002B7D5A"/>
    <w:rsid w:val="002C2E9F"/>
    <w:rsid w:val="002C3A74"/>
    <w:rsid w:val="002C5C83"/>
    <w:rsid w:val="002C63AC"/>
    <w:rsid w:val="002C6418"/>
    <w:rsid w:val="002C71C4"/>
    <w:rsid w:val="002D0F6F"/>
    <w:rsid w:val="002D3EE5"/>
    <w:rsid w:val="002D4061"/>
    <w:rsid w:val="002D52E0"/>
    <w:rsid w:val="002D5E42"/>
    <w:rsid w:val="002D621C"/>
    <w:rsid w:val="002D6382"/>
    <w:rsid w:val="002D6868"/>
    <w:rsid w:val="002D7899"/>
    <w:rsid w:val="002E1C2D"/>
    <w:rsid w:val="002E332D"/>
    <w:rsid w:val="002E4A90"/>
    <w:rsid w:val="002E501E"/>
    <w:rsid w:val="002E58AB"/>
    <w:rsid w:val="002E61D6"/>
    <w:rsid w:val="002E64D8"/>
    <w:rsid w:val="002E69E2"/>
    <w:rsid w:val="002E6E99"/>
    <w:rsid w:val="002E7F96"/>
    <w:rsid w:val="002F0208"/>
    <w:rsid w:val="002F2B38"/>
    <w:rsid w:val="002F3002"/>
    <w:rsid w:val="002F3765"/>
    <w:rsid w:val="002F3CE2"/>
    <w:rsid w:val="002F4B17"/>
    <w:rsid w:val="002F5DCA"/>
    <w:rsid w:val="002F611F"/>
    <w:rsid w:val="002F69E6"/>
    <w:rsid w:val="00300E2F"/>
    <w:rsid w:val="003037D2"/>
    <w:rsid w:val="0030440E"/>
    <w:rsid w:val="003048A3"/>
    <w:rsid w:val="003053F4"/>
    <w:rsid w:val="003054ED"/>
    <w:rsid w:val="00305DDF"/>
    <w:rsid w:val="003060D2"/>
    <w:rsid w:val="00306B89"/>
    <w:rsid w:val="00306EBE"/>
    <w:rsid w:val="00306FB1"/>
    <w:rsid w:val="003075CA"/>
    <w:rsid w:val="00310ED9"/>
    <w:rsid w:val="00311550"/>
    <w:rsid w:val="003120BB"/>
    <w:rsid w:val="0031292B"/>
    <w:rsid w:val="00312A93"/>
    <w:rsid w:val="0031301F"/>
    <w:rsid w:val="00314CF1"/>
    <w:rsid w:val="003151BB"/>
    <w:rsid w:val="0031536F"/>
    <w:rsid w:val="003174B6"/>
    <w:rsid w:val="00317C39"/>
    <w:rsid w:val="00320599"/>
    <w:rsid w:val="00320EAD"/>
    <w:rsid w:val="003217B3"/>
    <w:rsid w:val="00322A9A"/>
    <w:rsid w:val="00324722"/>
    <w:rsid w:val="00324841"/>
    <w:rsid w:val="00324C6E"/>
    <w:rsid w:val="0032525D"/>
    <w:rsid w:val="0032675B"/>
    <w:rsid w:val="00327304"/>
    <w:rsid w:val="00327D49"/>
    <w:rsid w:val="00330197"/>
    <w:rsid w:val="00330AD7"/>
    <w:rsid w:val="00331120"/>
    <w:rsid w:val="0033215C"/>
    <w:rsid w:val="00332C70"/>
    <w:rsid w:val="003333DA"/>
    <w:rsid w:val="00334D8C"/>
    <w:rsid w:val="00336527"/>
    <w:rsid w:val="0033664A"/>
    <w:rsid w:val="003369B5"/>
    <w:rsid w:val="003374EC"/>
    <w:rsid w:val="00337676"/>
    <w:rsid w:val="00340993"/>
    <w:rsid w:val="0034181F"/>
    <w:rsid w:val="00342665"/>
    <w:rsid w:val="00342C44"/>
    <w:rsid w:val="00343D45"/>
    <w:rsid w:val="00345B4D"/>
    <w:rsid w:val="00351718"/>
    <w:rsid w:val="003517DD"/>
    <w:rsid w:val="00351C1B"/>
    <w:rsid w:val="00352332"/>
    <w:rsid w:val="003532A2"/>
    <w:rsid w:val="00353618"/>
    <w:rsid w:val="00353C79"/>
    <w:rsid w:val="00353DFE"/>
    <w:rsid w:val="003554E2"/>
    <w:rsid w:val="0035591E"/>
    <w:rsid w:val="00360FA5"/>
    <w:rsid w:val="00361052"/>
    <w:rsid w:val="00362705"/>
    <w:rsid w:val="00362CC6"/>
    <w:rsid w:val="00363248"/>
    <w:rsid w:val="00363E32"/>
    <w:rsid w:val="0036475B"/>
    <w:rsid w:val="003647A4"/>
    <w:rsid w:val="00365758"/>
    <w:rsid w:val="00366EEC"/>
    <w:rsid w:val="0036779B"/>
    <w:rsid w:val="003679D6"/>
    <w:rsid w:val="00367B6C"/>
    <w:rsid w:val="00370FA3"/>
    <w:rsid w:val="00371CC1"/>
    <w:rsid w:val="00372901"/>
    <w:rsid w:val="00375112"/>
    <w:rsid w:val="0037536B"/>
    <w:rsid w:val="0037561C"/>
    <w:rsid w:val="003759D4"/>
    <w:rsid w:val="00375BD6"/>
    <w:rsid w:val="00375F36"/>
    <w:rsid w:val="00376850"/>
    <w:rsid w:val="003768F6"/>
    <w:rsid w:val="00377136"/>
    <w:rsid w:val="003777E4"/>
    <w:rsid w:val="00381852"/>
    <w:rsid w:val="003819B8"/>
    <w:rsid w:val="00381E35"/>
    <w:rsid w:val="00381FBF"/>
    <w:rsid w:val="00382208"/>
    <w:rsid w:val="00382DDD"/>
    <w:rsid w:val="00383C85"/>
    <w:rsid w:val="00384C4D"/>
    <w:rsid w:val="00385ECA"/>
    <w:rsid w:val="00386221"/>
    <w:rsid w:val="003863DA"/>
    <w:rsid w:val="0038727B"/>
    <w:rsid w:val="003873C8"/>
    <w:rsid w:val="003900D2"/>
    <w:rsid w:val="00390977"/>
    <w:rsid w:val="00391744"/>
    <w:rsid w:val="00392213"/>
    <w:rsid w:val="00393A0D"/>
    <w:rsid w:val="00395CE7"/>
    <w:rsid w:val="00395F78"/>
    <w:rsid w:val="00396456"/>
    <w:rsid w:val="003964EE"/>
    <w:rsid w:val="00396639"/>
    <w:rsid w:val="00396CAE"/>
    <w:rsid w:val="00396EDF"/>
    <w:rsid w:val="00397EC7"/>
    <w:rsid w:val="003A1234"/>
    <w:rsid w:val="003A3A88"/>
    <w:rsid w:val="003A3D17"/>
    <w:rsid w:val="003A3D60"/>
    <w:rsid w:val="003A49F4"/>
    <w:rsid w:val="003A4FA8"/>
    <w:rsid w:val="003A535E"/>
    <w:rsid w:val="003A6A19"/>
    <w:rsid w:val="003A7A9C"/>
    <w:rsid w:val="003B03C8"/>
    <w:rsid w:val="003B0687"/>
    <w:rsid w:val="003B1A44"/>
    <w:rsid w:val="003B225B"/>
    <w:rsid w:val="003B236E"/>
    <w:rsid w:val="003B31EE"/>
    <w:rsid w:val="003B37C5"/>
    <w:rsid w:val="003B423A"/>
    <w:rsid w:val="003B49C9"/>
    <w:rsid w:val="003B564F"/>
    <w:rsid w:val="003B5744"/>
    <w:rsid w:val="003B660C"/>
    <w:rsid w:val="003B666A"/>
    <w:rsid w:val="003B6892"/>
    <w:rsid w:val="003B68EA"/>
    <w:rsid w:val="003B7362"/>
    <w:rsid w:val="003B760F"/>
    <w:rsid w:val="003B77B4"/>
    <w:rsid w:val="003B7C57"/>
    <w:rsid w:val="003C03C8"/>
    <w:rsid w:val="003C21D4"/>
    <w:rsid w:val="003C3030"/>
    <w:rsid w:val="003C3A39"/>
    <w:rsid w:val="003C3B5D"/>
    <w:rsid w:val="003C5873"/>
    <w:rsid w:val="003C5EE7"/>
    <w:rsid w:val="003C63DE"/>
    <w:rsid w:val="003D1098"/>
    <w:rsid w:val="003D20D7"/>
    <w:rsid w:val="003D2450"/>
    <w:rsid w:val="003D2D2E"/>
    <w:rsid w:val="003D3731"/>
    <w:rsid w:val="003D3ABA"/>
    <w:rsid w:val="003D3E01"/>
    <w:rsid w:val="003D40F6"/>
    <w:rsid w:val="003D44F6"/>
    <w:rsid w:val="003D4AA6"/>
    <w:rsid w:val="003D6336"/>
    <w:rsid w:val="003D67BE"/>
    <w:rsid w:val="003D7963"/>
    <w:rsid w:val="003D7AF2"/>
    <w:rsid w:val="003E0A0B"/>
    <w:rsid w:val="003E0C84"/>
    <w:rsid w:val="003E1164"/>
    <w:rsid w:val="003E3A9D"/>
    <w:rsid w:val="003E4A80"/>
    <w:rsid w:val="003E4EB6"/>
    <w:rsid w:val="003E507A"/>
    <w:rsid w:val="003E63A8"/>
    <w:rsid w:val="003E6D31"/>
    <w:rsid w:val="003E72E3"/>
    <w:rsid w:val="003E765D"/>
    <w:rsid w:val="003E7A3B"/>
    <w:rsid w:val="003F4903"/>
    <w:rsid w:val="003F4EEE"/>
    <w:rsid w:val="003F51C7"/>
    <w:rsid w:val="003F5488"/>
    <w:rsid w:val="003F5AE6"/>
    <w:rsid w:val="00401041"/>
    <w:rsid w:val="0040165B"/>
    <w:rsid w:val="00401824"/>
    <w:rsid w:val="00401E14"/>
    <w:rsid w:val="00402880"/>
    <w:rsid w:val="00402EB2"/>
    <w:rsid w:val="00403EC0"/>
    <w:rsid w:val="00403F7D"/>
    <w:rsid w:val="004042A1"/>
    <w:rsid w:val="004042AE"/>
    <w:rsid w:val="00405239"/>
    <w:rsid w:val="004059A7"/>
    <w:rsid w:val="004070CA"/>
    <w:rsid w:val="004079F7"/>
    <w:rsid w:val="00410EF1"/>
    <w:rsid w:val="004110D1"/>
    <w:rsid w:val="00412490"/>
    <w:rsid w:val="00412808"/>
    <w:rsid w:val="004128FE"/>
    <w:rsid w:val="00413420"/>
    <w:rsid w:val="00413E81"/>
    <w:rsid w:val="004140CA"/>
    <w:rsid w:val="004148DF"/>
    <w:rsid w:val="00414AB4"/>
    <w:rsid w:val="004154CE"/>
    <w:rsid w:val="00416659"/>
    <w:rsid w:val="00416F56"/>
    <w:rsid w:val="004172ED"/>
    <w:rsid w:val="004178FC"/>
    <w:rsid w:val="00417CFC"/>
    <w:rsid w:val="00417F68"/>
    <w:rsid w:val="00420D3A"/>
    <w:rsid w:val="00421197"/>
    <w:rsid w:val="0042139E"/>
    <w:rsid w:val="00421563"/>
    <w:rsid w:val="004221B2"/>
    <w:rsid w:val="0042294A"/>
    <w:rsid w:val="004235C7"/>
    <w:rsid w:val="00423BA1"/>
    <w:rsid w:val="0042428D"/>
    <w:rsid w:val="00425660"/>
    <w:rsid w:val="004256D2"/>
    <w:rsid w:val="004261DA"/>
    <w:rsid w:val="00426915"/>
    <w:rsid w:val="0042777B"/>
    <w:rsid w:val="00430767"/>
    <w:rsid w:val="004308D5"/>
    <w:rsid w:val="00431B7B"/>
    <w:rsid w:val="00432242"/>
    <w:rsid w:val="004329E9"/>
    <w:rsid w:val="00432E52"/>
    <w:rsid w:val="00432F1C"/>
    <w:rsid w:val="00433EB0"/>
    <w:rsid w:val="00434490"/>
    <w:rsid w:val="004352F7"/>
    <w:rsid w:val="004375DD"/>
    <w:rsid w:val="004403AB"/>
    <w:rsid w:val="004403AF"/>
    <w:rsid w:val="00441126"/>
    <w:rsid w:val="00441AA8"/>
    <w:rsid w:val="00441C3F"/>
    <w:rsid w:val="00441FFC"/>
    <w:rsid w:val="004430D8"/>
    <w:rsid w:val="00443DAB"/>
    <w:rsid w:val="00443E33"/>
    <w:rsid w:val="00443F6D"/>
    <w:rsid w:val="00444DE3"/>
    <w:rsid w:val="0044670F"/>
    <w:rsid w:val="00446809"/>
    <w:rsid w:val="00446D59"/>
    <w:rsid w:val="00447E00"/>
    <w:rsid w:val="00450656"/>
    <w:rsid w:val="0045093D"/>
    <w:rsid w:val="0045105A"/>
    <w:rsid w:val="00451911"/>
    <w:rsid w:val="00452177"/>
    <w:rsid w:val="00452471"/>
    <w:rsid w:val="00454B0B"/>
    <w:rsid w:val="004564CE"/>
    <w:rsid w:val="00460872"/>
    <w:rsid w:val="0046257E"/>
    <w:rsid w:val="00462590"/>
    <w:rsid w:val="0046349B"/>
    <w:rsid w:val="0046386A"/>
    <w:rsid w:val="00464329"/>
    <w:rsid w:val="0046496F"/>
    <w:rsid w:val="00464D01"/>
    <w:rsid w:val="00464E5E"/>
    <w:rsid w:val="004650FE"/>
    <w:rsid w:val="004676FB"/>
    <w:rsid w:val="00471447"/>
    <w:rsid w:val="004715D2"/>
    <w:rsid w:val="004717E3"/>
    <w:rsid w:val="004718A7"/>
    <w:rsid w:val="00471CDF"/>
    <w:rsid w:val="00471F23"/>
    <w:rsid w:val="00472C4C"/>
    <w:rsid w:val="004739CB"/>
    <w:rsid w:val="00473BF0"/>
    <w:rsid w:val="00473DE8"/>
    <w:rsid w:val="00473FA0"/>
    <w:rsid w:val="004740E3"/>
    <w:rsid w:val="0047462E"/>
    <w:rsid w:val="00474CFF"/>
    <w:rsid w:val="00474DC4"/>
    <w:rsid w:val="00474E3B"/>
    <w:rsid w:val="0047690D"/>
    <w:rsid w:val="00476F42"/>
    <w:rsid w:val="004772A0"/>
    <w:rsid w:val="004778F9"/>
    <w:rsid w:val="004779F1"/>
    <w:rsid w:val="004802D7"/>
    <w:rsid w:val="00480906"/>
    <w:rsid w:val="00480B92"/>
    <w:rsid w:val="00481869"/>
    <w:rsid w:val="00481943"/>
    <w:rsid w:val="00482596"/>
    <w:rsid w:val="004827F7"/>
    <w:rsid w:val="004830CC"/>
    <w:rsid w:val="00483415"/>
    <w:rsid w:val="00483A92"/>
    <w:rsid w:val="0048506F"/>
    <w:rsid w:val="004852E0"/>
    <w:rsid w:val="00485E49"/>
    <w:rsid w:val="00486322"/>
    <w:rsid w:val="00487794"/>
    <w:rsid w:val="004910C9"/>
    <w:rsid w:val="0049354E"/>
    <w:rsid w:val="00495AED"/>
    <w:rsid w:val="004971B6"/>
    <w:rsid w:val="004A0C66"/>
    <w:rsid w:val="004A26E6"/>
    <w:rsid w:val="004A2B67"/>
    <w:rsid w:val="004A3AF0"/>
    <w:rsid w:val="004A58C3"/>
    <w:rsid w:val="004A5B32"/>
    <w:rsid w:val="004A614F"/>
    <w:rsid w:val="004A660D"/>
    <w:rsid w:val="004A6E8F"/>
    <w:rsid w:val="004B0C84"/>
    <w:rsid w:val="004B1550"/>
    <w:rsid w:val="004B262B"/>
    <w:rsid w:val="004B293B"/>
    <w:rsid w:val="004B3A99"/>
    <w:rsid w:val="004B4136"/>
    <w:rsid w:val="004B44A3"/>
    <w:rsid w:val="004B46EF"/>
    <w:rsid w:val="004B4DED"/>
    <w:rsid w:val="004B521D"/>
    <w:rsid w:val="004B549D"/>
    <w:rsid w:val="004B6573"/>
    <w:rsid w:val="004B6786"/>
    <w:rsid w:val="004B6BB0"/>
    <w:rsid w:val="004C13B4"/>
    <w:rsid w:val="004C23D1"/>
    <w:rsid w:val="004C26BC"/>
    <w:rsid w:val="004C26F3"/>
    <w:rsid w:val="004C2ED0"/>
    <w:rsid w:val="004C46CB"/>
    <w:rsid w:val="004C4A46"/>
    <w:rsid w:val="004C636C"/>
    <w:rsid w:val="004C7327"/>
    <w:rsid w:val="004C774C"/>
    <w:rsid w:val="004D0BCA"/>
    <w:rsid w:val="004D1967"/>
    <w:rsid w:val="004D1B69"/>
    <w:rsid w:val="004D2CB2"/>
    <w:rsid w:val="004D414F"/>
    <w:rsid w:val="004D53FF"/>
    <w:rsid w:val="004D5A1E"/>
    <w:rsid w:val="004D794F"/>
    <w:rsid w:val="004E0BBD"/>
    <w:rsid w:val="004E1F19"/>
    <w:rsid w:val="004E31D2"/>
    <w:rsid w:val="004E3771"/>
    <w:rsid w:val="004E3C80"/>
    <w:rsid w:val="004E5745"/>
    <w:rsid w:val="004E5C4F"/>
    <w:rsid w:val="004E6B35"/>
    <w:rsid w:val="004E6E8E"/>
    <w:rsid w:val="004E71E4"/>
    <w:rsid w:val="004F0180"/>
    <w:rsid w:val="004F01AD"/>
    <w:rsid w:val="004F0635"/>
    <w:rsid w:val="004F0A31"/>
    <w:rsid w:val="004F184E"/>
    <w:rsid w:val="004F2C11"/>
    <w:rsid w:val="004F36C7"/>
    <w:rsid w:val="004F3EB7"/>
    <w:rsid w:val="004F438E"/>
    <w:rsid w:val="004F4DD1"/>
    <w:rsid w:val="004F4E54"/>
    <w:rsid w:val="004F53DD"/>
    <w:rsid w:val="004F5A42"/>
    <w:rsid w:val="004F6139"/>
    <w:rsid w:val="004F67E2"/>
    <w:rsid w:val="004F7328"/>
    <w:rsid w:val="0050038F"/>
    <w:rsid w:val="005025DA"/>
    <w:rsid w:val="00502AF9"/>
    <w:rsid w:val="0050305F"/>
    <w:rsid w:val="005040E9"/>
    <w:rsid w:val="005049EA"/>
    <w:rsid w:val="0050631A"/>
    <w:rsid w:val="005067E1"/>
    <w:rsid w:val="005074D5"/>
    <w:rsid w:val="00510171"/>
    <w:rsid w:val="005107CA"/>
    <w:rsid w:val="00510A95"/>
    <w:rsid w:val="00510C2A"/>
    <w:rsid w:val="00510F93"/>
    <w:rsid w:val="00512CF7"/>
    <w:rsid w:val="005149E6"/>
    <w:rsid w:val="00515E4A"/>
    <w:rsid w:val="00515FEA"/>
    <w:rsid w:val="00516487"/>
    <w:rsid w:val="00516BD2"/>
    <w:rsid w:val="0051724B"/>
    <w:rsid w:val="00517A8C"/>
    <w:rsid w:val="00517C11"/>
    <w:rsid w:val="00517F0E"/>
    <w:rsid w:val="00520AB5"/>
    <w:rsid w:val="00521D7A"/>
    <w:rsid w:val="00522150"/>
    <w:rsid w:val="005221CD"/>
    <w:rsid w:val="00522634"/>
    <w:rsid w:val="00522A14"/>
    <w:rsid w:val="00522B1E"/>
    <w:rsid w:val="00523003"/>
    <w:rsid w:val="00523989"/>
    <w:rsid w:val="005242AB"/>
    <w:rsid w:val="0052437C"/>
    <w:rsid w:val="00524B15"/>
    <w:rsid w:val="005266E6"/>
    <w:rsid w:val="00526C6E"/>
    <w:rsid w:val="00526D7D"/>
    <w:rsid w:val="00526DC9"/>
    <w:rsid w:val="00526ED1"/>
    <w:rsid w:val="00526F73"/>
    <w:rsid w:val="0052754F"/>
    <w:rsid w:val="00530C01"/>
    <w:rsid w:val="00530D6C"/>
    <w:rsid w:val="00530DF8"/>
    <w:rsid w:val="0053162F"/>
    <w:rsid w:val="00531A52"/>
    <w:rsid w:val="0053216E"/>
    <w:rsid w:val="00532368"/>
    <w:rsid w:val="005327FB"/>
    <w:rsid w:val="005334E8"/>
    <w:rsid w:val="005341F5"/>
    <w:rsid w:val="00534A93"/>
    <w:rsid w:val="005357E1"/>
    <w:rsid w:val="00535F32"/>
    <w:rsid w:val="005366E8"/>
    <w:rsid w:val="00536C46"/>
    <w:rsid w:val="0054241F"/>
    <w:rsid w:val="00542B58"/>
    <w:rsid w:val="00543025"/>
    <w:rsid w:val="00543364"/>
    <w:rsid w:val="00544C6F"/>
    <w:rsid w:val="00544DDB"/>
    <w:rsid w:val="0054519B"/>
    <w:rsid w:val="0054581A"/>
    <w:rsid w:val="00545907"/>
    <w:rsid w:val="0054618B"/>
    <w:rsid w:val="005464EB"/>
    <w:rsid w:val="0054690C"/>
    <w:rsid w:val="00547527"/>
    <w:rsid w:val="00547BD3"/>
    <w:rsid w:val="00550A46"/>
    <w:rsid w:val="005519DE"/>
    <w:rsid w:val="00553955"/>
    <w:rsid w:val="00554580"/>
    <w:rsid w:val="00554CD6"/>
    <w:rsid w:val="0055531B"/>
    <w:rsid w:val="00555567"/>
    <w:rsid w:val="00555ACD"/>
    <w:rsid w:val="00555BEC"/>
    <w:rsid w:val="00556169"/>
    <w:rsid w:val="005562FE"/>
    <w:rsid w:val="00556C73"/>
    <w:rsid w:val="00556F3A"/>
    <w:rsid w:val="00557A7E"/>
    <w:rsid w:val="0056042D"/>
    <w:rsid w:val="0056083D"/>
    <w:rsid w:val="00562EF8"/>
    <w:rsid w:val="00563CCE"/>
    <w:rsid w:val="00563FA2"/>
    <w:rsid w:val="005649F7"/>
    <w:rsid w:val="00565717"/>
    <w:rsid w:val="0056588F"/>
    <w:rsid w:val="00565CBD"/>
    <w:rsid w:val="00566075"/>
    <w:rsid w:val="00567357"/>
    <w:rsid w:val="0056785C"/>
    <w:rsid w:val="00567F50"/>
    <w:rsid w:val="0057056B"/>
    <w:rsid w:val="005706C8"/>
    <w:rsid w:val="00571C2B"/>
    <w:rsid w:val="00571EFD"/>
    <w:rsid w:val="005729E0"/>
    <w:rsid w:val="00572D96"/>
    <w:rsid w:val="00573610"/>
    <w:rsid w:val="00573AB6"/>
    <w:rsid w:val="00573DD7"/>
    <w:rsid w:val="005741D5"/>
    <w:rsid w:val="00574EC0"/>
    <w:rsid w:val="0057531A"/>
    <w:rsid w:val="00576307"/>
    <w:rsid w:val="005775AE"/>
    <w:rsid w:val="00577B87"/>
    <w:rsid w:val="00577C14"/>
    <w:rsid w:val="00581B19"/>
    <w:rsid w:val="00582D15"/>
    <w:rsid w:val="005839EE"/>
    <w:rsid w:val="00584FB7"/>
    <w:rsid w:val="0058554A"/>
    <w:rsid w:val="00586E77"/>
    <w:rsid w:val="0058736C"/>
    <w:rsid w:val="00587449"/>
    <w:rsid w:val="00587910"/>
    <w:rsid w:val="00590641"/>
    <w:rsid w:val="00590784"/>
    <w:rsid w:val="00590B8D"/>
    <w:rsid w:val="00590E1D"/>
    <w:rsid w:val="0059340F"/>
    <w:rsid w:val="005943A1"/>
    <w:rsid w:val="00594A06"/>
    <w:rsid w:val="00595B8C"/>
    <w:rsid w:val="00596118"/>
    <w:rsid w:val="00596A11"/>
    <w:rsid w:val="00596D2E"/>
    <w:rsid w:val="00597457"/>
    <w:rsid w:val="00597652"/>
    <w:rsid w:val="00597FDE"/>
    <w:rsid w:val="005A0FC6"/>
    <w:rsid w:val="005A19D4"/>
    <w:rsid w:val="005A45B2"/>
    <w:rsid w:val="005A4DFB"/>
    <w:rsid w:val="005A4E78"/>
    <w:rsid w:val="005A51D5"/>
    <w:rsid w:val="005A66E0"/>
    <w:rsid w:val="005A6743"/>
    <w:rsid w:val="005A6774"/>
    <w:rsid w:val="005A68F7"/>
    <w:rsid w:val="005A6932"/>
    <w:rsid w:val="005A784A"/>
    <w:rsid w:val="005B03B2"/>
    <w:rsid w:val="005B05C2"/>
    <w:rsid w:val="005B1BD8"/>
    <w:rsid w:val="005B1E8C"/>
    <w:rsid w:val="005B2D26"/>
    <w:rsid w:val="005B50AE"/>
    <w:rsid w:val="005B51BE"/>
    <w:rsid w:val="005B52FB"/>
    <w:rsid w:val="005B5AF3"/>
    <w:rsid w:val="005B7AF2"/>
    <w:rsid w:val="005C1317"/>
    <w:rsid w:val="005C1CFD"/>
    <w:rsid w:val="005C277B"/>
    <w:rsid w:val="005C2F25"/>
    <w:rsid w:val="005C368D"/>
    <w:rsid w:val="005C48B5"/>
    <w:rsid w:val="005C4C0B"/>
    <w:rsid w:val="005C5BAE"/>
    <w:rsid w:val="005C6522"/>
    <w:rsid w:val="005C68A6"/>
    <w:rsid w:val="005D071A"/>
    <w:rsid w:val="005D191D"/>
    <w:rsid w:val="005D1BB5"/>
    <w:rsid w:val="005D3848"/>
    <w:rsid w:val="005D5F23"/>
    <w:rsid w:val="005D6911"/>
    <w:rsid w:val="005D71EE"/>
    <w:rsid w:val="005D7475"/>
    <w:rsid w:val="005D75FB"/>
    <w:rsid w:val="005D7967"/>
    <w:rsid w:val="005E0680"/>
    <w:rsid w:val="005E07D1"/>
    <w:rsid w:val="005E11CB"/>
    <w:rsid w:val="005E13FE"/>
    <w:rsid w:val="005E1982"/>
    <w:rsid w:val="005E2267"/>
    <w:rsid w:val="005E2B7F"/>
    <w:rsid w:val="005E2D80"/>
    <w:rsid w:val="005E3B9C"/>
    <w:rsid w:val="005E3DE7"/>
    <w:rsid w:val="005E5CD0"/>
    <w:rsid w:val="005E70B7"/>
    <w:rsid w:val="005E7B7A"/>
    <w:rsid w:val="005F031E"/>
    <w:rsid w:val="005F0519"/>
    <w:rsid w:val="005F1064"/>
    <w:rsid w:val="005F15BE"/>
    <w:rsid w:val="005F22EF"/>
    <w:rsid w:val="005F2D96"/>
    <w:rsid w:val="005F48FA"/>
    <w:rsid w:val="005F6863"/>
    <w:rsid w:val="005F765B"/>
    <w:rsid w:val="005F7CB5"/>
    <w:rsid w:val="0060051F"/>
    <w:rsid w:val="00601EB4"/>
    <w:rsid w:val="00603124"/>
    <w:rsid w:val="006032CC"/>
    <w:rsid w:val="006035CB"/>
    <w:rsid w:val="00604A89"/>
    <w:rsid w:val="0060541D"/>
    <w:rsid w:val="0060551F"/>
    <w:rsid w:val="006059E2"/>
    <w:rsid w:val="00606A9A"/>
    <w:rsid w:val="00607810"/>
    <w:rsid w:val="00607CC5"/>
    <w:rsid w:val="00607E8D"/>
    <w:rsid w:val="00611362"/>
    <w:rsid w:val="00611470"/>
    <w:rsid w:val="0061242E"/>
    <w:rsid w:val="00612A17"/>
    <w:rsid w:val="00612E85"/>
    <w:rsid w:val="00613533"/>
    <w:rsid w:val="00613E69"/>
    <w:rsid w:val="006145FA"/>
    <w:rsid w:val="0061593D"/>
    <w:rsid w:val="00616EAF"/>
    <w:rsid w:val="00617BE7"/>
    <w:rsid w:val="006207C0"/>
    <w:rsid w:val="00620C91"/>
    <w:rsid w:val="006225DC"/>
    <w:rsid w:val="00624744"/>
    <w:rsid w:val="00624E4C"/>
    <w:rsid w:val="0062537F"/>
    <w:rsid w:val="00626354"/>
    <w:rsid w:val="00626E6B"/>
    <w:rsid w:val="00626F94"/>
    <w:rsid w:val="00631CF5"/>
    <w:rsid w:val="00631E74"/>
    <w:rsid w:val="00632221"/>
    <w:rsid w:val="0063235E"/>
    <w:rsid w:val="00632D6E"/>
    <w:rsid w:val="0063340E"/>
    <w:rsid w:val="00633596"/>
    <w:rsid w:val="00633B56"/>
    <w:rsid w:val="00633E44"/>
    <w:rsid w:val="00634068"/>
    <w:rsid w:val="006346FE"/>
    <w:rsid w:val="006352D2"/>
    <w:rsid w:val="00640401"/>
    <w:rsid w:val="0064244A"/>
    <w:rsid w:val="006434F3"/>
    <w:rsid w:val="00644521"/>
    <w:rsid w:val="00644956"/>
    <w:rsid w:val="00645F4A"/>
    <w:rsid w:val="00646464"/>
    <w:rsid w:val="0064798D"/>
    <w:rsid w:val="0065031B"/>
    <w:rsid w:val="00650DA0"/>
    <w:rsid w:val="0065153D"/>
    <w:rsid w:val="006520FD"/>
    <w:rsid w:val="00652443"/>
    <w:rsid w:val="00652B03"/>
    <w:rsid w:val="00653657"/>
    <w:rsid w:val="00653EB5"/>
    <w:rsid w:val="006547AB"/>
    <w:rsid w:val="00656380"/>
    <w:rsid w:val="00656C4B"/>
    <w:rsid w:val="00656D3B"/>
    <w:rsid w:val="00660010"/>
    <w:rsid w:val="00660902"/>
    <w:rsid w:val="006619BE"/>
    <w:rsid w:val="006630A1"/>
    <w:rsid w:val="00663216"/>
    <w:rsid w:val="00663D00"/>
    <w:rsid w:val="006641A6"/>
    <w:rsid w:val="00664554"/>
    <w:rsid w:val="0066606E"/>
    <w:rsid w:val="006662F2"/>
    <w:rsid w:val="00666C13"/>
    <w:rsid w:val="00667095"/>
    <w:rsid w:val="00667239"/>
    <w:rsid w:val="0067109F"/>
    <w:rsid w:val="006710C3"/>
    <w:rsid w:val="006732BE"/>
    <w:rsid w:val="00673307"/>
    <w:rsid w:val="006739C4"/>
    <w:rsid w:val="0067456E"/>
    <w:rsid w:val="00674D5C"/>
    <w:rsid w:val="006757E7"/>
    <w:rsid w:val="00676998"/>
    <w:rsid w:val="00676D1F"/>
    <w:rsid w:val="006774EC"/>
    <w:rsid w:val="00677DE7"/>
    <w:rsid w:val="006801FE"/>
    <w:rsid w:val="00680C62"/>
    <w:rsid w:val="00680F36"/>
    <w:rsid w:val="006824F9"/>
    <w:rsid w:val="006829CA"/>
    <w:rsid w:val="00682FB3"/>
    <w:rsid w:val="00684584"/>
    <w:rsid w:val="00686FBD"/>
    <w:rsid w:val="00687024"/>
    <w:rsid w:val="0068762C"/>
    <w:rsid w:val="00687684"/>
    <w:rsid w:val="00687BBD"/>
    <w:rsid w:val="006931A7"/>
    <w:rsid w:val="00693625"/>
    <w:rsid w:val="00694016"/>
    <w:rsid w:val="0069429E"/>
    <w:rsid w:val="00695349"/>
    <w:rsid w:val="006955BA"/>
    <w:rsid w:val="006958A8"/>
    <w:rsid w:val="006961E3"/>
    <w:rsid w:val="0069621B"/>
    <w:rsid w:val="00696ABF"/>
    <w:rsid w:val="00697082"/>
    <w:rsid w:val="006A0056"/>
    <w:rsid w:val="006A03E9"/>
    <w:rsid w:val="006A1261"/>
    <w:rsid w:val="006A12B0"/>
    <w:rsid w:val="006A14D9"/>
    <w:rsid w:val="006A2121"/>
    <w:rsid w:val="006A3058"/>
    <w:rsid w:val="006A4142"/>
    <w:rsid w:val="006A678B"/>
    <w:rsid w:val="006A6D9F"/>
    <w:rsid w:val="006B0A7E"/>
    <w:rsid w:val="006B16BC"/>
    <w:rsid w:val="006B1A93"/>
    <w:rsid w:val="006B4562"/>
    <w:rsid w:val="006B5958"/>
    <w:rsid w:val="006B5C4B"/>
    <w:rsid w:val="006B5CF7"/>
    <w:rsid w:val="006B6993"/>
    <w:rsid w:val="006C008B"/>
    <w:rsid w:val="006C247A"/>
    <w:rsid w:val="006C3342"/>
    <w:rsid w:val="006C36F3"/>
    <w:rsid w:val="006C3AFF"/>
    <w:rsid w:val="006C3EF2"/>
    <w:rsid w:val="006C47EC"/>
    <w:rsid w:val="006C4800"/>
    <w:rsid w:val="006C4F54"/>
    <w:rsid w:val="006C5B9B"/>
    <w:rsid w:val="006C5D83"/>
    <w:rsid w:val="006C6C5C"/>
    <w:rsid w:val="006C6DB8"/>
    <w:rsid w:val="006C78E3"/>
    <w:rsid w:val="006D0373"/>
    <w:rsid w:val="006D1E66"/>
    <w:rsid w:val="006D40E4"/>
    <w:rsid w:val="006D67A2"/>
    <w:rsid w:val="006D6E8F"/>
    <w:rsid w:val="006E05FE"/>
    <w:rsid w:val="006E152F"/>
    <w:rsid w:val="006E1D47"/>
    <w:rsid w:val="006E2400"/>
    <w:rsid w:val="006E261A"/>
    <w:rsid w:val="006E2621"/>
    <w:rsid w:val="006E277C"/>
    <w:rsid w:val="006E3DCD"/>
    <w:rsid w:val="006E43CD"/>
    <w:rsid w:val="006E4C23"/>
    <w:rsid w:val="006E59E9"/>
    <w:rsid w:val="006E6186"/>
    <w:rsid w:val="006F0608"/>
    <w:rsid w:val="006F09EB"/>
    <w:rsid w:val="006F0B58"/>
    <w:rsid w:val="006F257D"/>
    <w:rsid w:val="006F2731"/>
    <w:rsid w:val="006F2F97"/>
    <w:rsid w:val="006F4126"/>
    <w:rsid w:val="006F5281"/>
    <w:rsid w:val="006F59E8"/>
    <w:rsid w:val="006F7437"/>
    <w:rsid w:val="006F7C5D"/>
    <w:rsid w:val="00700A55"/>
    <w:rsid w:val="00700A9B"/>
    <w:rsid w:val="00700CA5"/>
    <w:rsid w:val="007023EC"/>
    <w:rsid w:val="00702515"/>
    <w:rsid w:val="00702F00"/>
    <w:rsid w:val="0070344A"/>
    <w:rsid w:val="00703A59"/>
    <w:rsid w:val="00703FE7"/>
    <w:rsid w:val="007043C9"/>
    <w:rsid w:val="007053BA"/>
    <w:rsid w:val="00706353"/>
    <w:rsid w:val="0070771C"/>
    <w:rsid w:val="00710948"/>
    <w:rsid w:val="00711252"/>
    <w:rsid w:val="0071156E"/>
    <w:rsid w:val="00711ADE"/>
    <w:rsid w:val="00711ED5"/>
    <w:rsid w:val="00711F9F"/>
    <w:rsid w:val="00712161"/>
    <w:rsid w:val="00713399"/>
    <w:rsid w:val="00713CBE"/>
    <w:rsid w:val="00714760"/>
    <w:rsid w:val="00714D3B"/>
    <w:rsid w:val="00716FA7"/>
    <w:rsid w:val="00721780"/>
    <w:rsid w:val="00721B7B"/>
    <w:rsid w:val="00721E0D"/>
    <w:rsid w:val="00723622"/>
    <w:rsid w:val="00723707"/>
    <w:rsid w:val="00724BC7"/>
    <w:rsid w:val="007255F1"/>
    <w:rsid w:val="00726622"/>
    <w:rsid w:val="007268F6"/>
    <w:rsid w:val="00727BFB"/>
    <w:rsid w:val="00731655"/>
    <w:rsid w:val="007321C4"/>
    <w:rsid w:val="0073230F"/>
    <w:rsid w:val="007326C3"/>
    <w:rsid w:val="007328AC"/>
    <w:rsid w:val="00732E1E"/>
    <w:rsid w:val="00733BC8"/>
    <w:rsid w:val="00733D1E"/>
    <w:rsid w:val="00733E78"/>
    <w:rsid w:val="007358B8"/>
    <w:rsid w:val="00736E92"/>
    <w:rsid w:val="0073704B"/>
    <w:rsid w:val="0073785D"/>
    <w:rsid w:val="0074066C"/>
    <w:rsid w:val="00740F34"/>
    <w:rsid w:val="00741B45"/>
    <w:rsid w:val="007425A7"/>
    <w:rsid w:val="00742843"/>
    <w:rsid w:val="007429B7"/>
    <w:rsid w:val="007436A7"/>
    <w:rsid w:val="007439CF"/>
    <w:rsid w:val="007443B5"/>
    <w:rsid w:val="00744E0B"/>
    <w:rsid w:val="00747F31"/>
    <w:rsid w:val="00751502"/>
    <w:rsid w:val="00751599"/>
    <w:rsid w:val="00751831"/>
    <w:rsid w:val="0075247A"/>
    <w:rsid w:val="00752713"/>
    <w:rsid w:val="00753AED"/>
    <w:rsid w:val="00753E25"/>
    <w:rsid w:val="0075495F"/>
    <w:rsid w:val="007549C2"/>
    <w:rsid w:val="00754E4A"/>
    <w:rsid w:val="007552E2"/>
    <w:rsid w:val="0075695D"/>
    <w:rsid w:val="00756A88"/>
    <w:rsid w:val="007570B2"/>
    <w:rsid w:val="00757ABA"/>
    <w:rsid w:val="00757CF1"/>
    <w:rsid w:val="00762304"/>
    <w:rsid w:val="007628AD"/>
    <w:rsid w:val="00762AC9"/>
    <w:rsid w:val="00762B87"/>
    <w:rsid w:val="00764C25"/>
    <w:rsid w:val="00765243"/>
    <w:rsid w:val="007663B3"/>
    <w:rsid w:val="0076707B"/>
    <w:rsid w:val="007703A3"/>
    <w:rsid w:val="00770AA9"/>
    <w:rsid w:val="00771F7D"/>
    <w:rsid w:val="00772C48"/>
    <w:rsid w:val="00774764"/>
    <w:rsid w:val="00774860"/>
    <w:rsid w:val="007758AB"/>
    <w:rsid w:val="007765D0"/>
    <w:rsid w:val="0078075D"/>
    <w:rsid w:val="00780D38"/>
    <w:rsid w:val="00781814"/>
    <w:rsid w:val="00782671"/>
    <w:rsid w:val="00783074"/>
    <w:rsid w:val="00784091"/>
    <w:rsid w:val="00784EBB"/>
    <w:rsid w:val="007851C7"/>
    <w:rsid w:val="007858C1"/>
    <w:rsid w:val="00785E82"/>
    <w:rsid w:val="007879DF"/>
    <w:rsid w:val="00790FF3"/>
    <w:rsid w:val="00792E92"/>
    <w:rsid w:val="007934B6"/>
    <w:rsid w:val="0079392B"/>
    <w:rsid w:val="00794C90"/>
    <w:rsid w:val="00795AC0"/>
    <w:rsid w:val="0079649F"/>
    <w:rsid w:val="00796D77"/>
    <w:rsid w:val="0079707F"/>
    <w:rsid w:val="00797776"/>
    <w:rsid w:val="0079785A"/>
    <w:rsid w:val="00797B38"/>
    <w:rsid w:val="007A0173"/>
    <w:rsid w:val="007A0CBE"/>
    <w:rsid w:val="007A301B"/>
    <w:rsid w:val="007A3C52"/>
    <w:rsid w:val="007A44FC"/>
    <w:rsid w:val="007A4675"/>
    <w:rsid w:val="007A5806"/>
    <w:rsid w:val="007A62EF"/>
    <w:rsid w:val="007A6717"/>
    <w:rsid w:val="007A6917"/>
    <w:rsid w:val="007A745E"/>
    <w:rsid w:val="007A7B14"/>
    <w:rsid w:val="007B4B40"/>
    <w:rsid w:val="007B4FBE"/>
    <w:rsid w:val="007B52A0"/>
    <w:rsid w:val="007C11F1"/>
    <w:rsid w:val="007C1647"/>
    <w:rsid w:val="007C1D71"/>
    <w:rsid w:val="007C1E87"/>
    <w:rsid w:val="007C220B"/>
    <w:rsid w:val="007C2A8F"/>
    <w:rsid w:val="007C2CDA"/>
    <w:rsid w:val="007C2FB1"/>
    <w:rsid w:val="007C3AE5"/>
    <w:rsid w:val="007C511C"/>
    <w:rsid w:val="007C5543"/>
    <w:rsid w:val="007C6F99"/>
    <w:rsid w:val="007C756C"/>
    <w:rsid w:val="007C7987"/>
    <w:rsid w:val="007D0507"/>
    <w:rsid w:val="007D0F2A"/>
    <w:rsid w:val="007D0FE5"/>
    <w:rsid w:val="007D18D4"/>
    <w:rsid w:val="007D2207"/>
    <w:rsid w:val="007D389D"/>
    <w:rsid w:val="007D39C1"/>
    <w:rsid w:val="007D3AD4"/>
    <w:rsid w:val="007D6E7A"/>
    <w:rsid w:val="007E049B"/>
    <w:rsid w:val="007E11BB"/>
    <w:rsid w:val="007E1BDA"/>
    <w:rsid w:val="007E1DF6"/>
    <w:rsid w:val="007E28A9"/>
    <w:rsid w:val="007E377A"/>
    <w:rsid w:val="007E3C5B"/>
    <w:rsid w:val="007E3C9F"/>
    <w:rsid w:val="007E3D8F"/>
    <w:rsid w:val="007E3EAF"/>
    <w:rsid w:val="007E4138"/>
    <w:rsid w:val="007E5CE8"/>
    <w:rsid w:val="007E7190"/>
    <w:rsid w:val="007F0325"/>
    <w:rsid w:val="007F15F1"/>
    <w:rsid w:val="007F19A6"/>
    <w:rsid w:val="007F341F"/>
    <w:rsid w:val="007F3426"/>
    <w:rsid w:val="007F3A38"/>
    <w:rsid w:val="007F3A91"/>
    <w:rsid w:val="007F3F4E"/>
    <w:rsid w:val="007F408C"/>
    <w:rsid w:val="007F4797"/>
    <w:rsid w:val="007F4CAD"/>
    <w:rsid w:val="007F5DB1"/>
    <w:rsid w:val="007F5E5A"/>
    <w:rsid w:val="007F5FD1"/>
    <w:rsid w:val="007F617A"/>
    <w:rsid w:val="007F6227"/>
    <w:rsid w:val="007F636C"/>
    <w:rsid w:val="007F66E6"/>
    <w:rsid w:val="007F69BB"/>
    <w:rsid w:val="007F7F05"/>
    <w:rsid w:val="0080048A"/>
    <w:rsid w:val="00800C74"/>
    <w:rsid w:val="00801043"/>
    <w:rsid w:val="00802337"/>
    <w:rsid w:val="0080262B"/>
    <w:rsid w:val="00802C6F"/>
    <w:rsid w:val="00804B80"/>
    <w:rsid w:val="00805025"/>
    <w:rsid w:val="0080521E"/>
    <w:rsid w:val="00805A93"/>
    <w:rsid w:val="008063C9"/>
    <w:rsid w:val="00807B7E"/>
    <w:rsid w:val="00807D52"/>
    <w:rsid w:val="00810113"/>
    <w:rsid w:val="00810A55"/>
    <w:rsid w:val="008111B9"/>
    <w:rsid w:val="00811A8E"/>
    <w:rsid w:val="008126D2"/>
    <w:rsid w:val="00812D1D"/>
    <w:rsid w:val="0081384F"/>
    <w:rsid w:val="0081430A"/>
    <w:rsid w:val="00815A34"/>
    <w:rsid w:val="008160B4"/>
    <w:rsid w:val="00816D02"/>
    <w:rsid w:val="0081727E"/>
    <w:rsid w:val="00817482"/>
    <w:rsid w:val="008174E5"/>
    <w:rsid w:val="00817662"/>
    <w:rsid w:val="00817F24"/>
    <w:rsid w:val="008204D6"/>
    <w:rsid w:val="00820976"/>
    <w:rsid w:val="00820E95"/>
    <w:rsid w:val="00820F5F"/>
    <w:rsid w:val="00820FBE"/>
    <w:rsid w:val="00822540"/>
    <w:rsid w:val="00822E6D"/>
    <w:rsid w:val="00823153"/>
    <w:rsid w:val="00823E69"/>
    <w:rsid w:val="008254A3"/>
    <w:rsid w:val="008255C8"/>
    <w:rsid w:val="008258A1"/>
    <w:rsid w:val="008258E4"/>
    <w:rsid w:val="00825D4D"/>
    <w:rsid w:val="00826A6A"/>
    <w:rsid w:val="00827980"/>
    <w:rsid w:val="0083079D"/>
    <w:rsid w:val="008310E2"/>
    <w:rsid w:val="00831A4C"/>
    <w:rsid w:val="00831F81"/>
    <w:rsid w:val="008320A4"/>
    <w:rsid w:val="00833A8E"/>
    <w:rsid w:val="00834A5E"/>
    <w:rsid w:val="00835377"/>
    <w:rsid w:val="00835AF7"/>
    <w:rsid w:val="00837B47"/>
    <w:rsid w:val="00840423"/>
    <w:rsid w:val="008416D9"/>
    <w:rsid w:val="00842231"/>
    <w:rsid w:val="0084278F"/>
    <w:rsid w:val="008444C8"/>
    <w:rsid w:val="008459AE"/>
    <w:rsid w:val="00845A5D"/>
    <w:rsid w:val="00845EAE"/>
    <w:rsid w:val="00846F00"/>
    <w:rsid w:val="008471A2"/>
    <w:rsid w:val="00847235"/>
    <w:rsid w:val="00847A50"/>
    <w:rsid w:val="008519C7"/>
    <w:rsid w:val="00852845"/>
    <w:rsid w:val="00853A3E"/>
    <w:rsid w:val="0085460B"/>
    <w:rsid w:val="00854916"/>
    <w:rsid w:val="00855C10"/>
    <w:rsid w:val="00856078"/>
    <w:rsid w:val="00856A80"/>
    <w:rsid w:val="00856E53"/>
    <w:rsid w:val="00857984"/>
    <w:rsid w:val="008610BD"/>
    <w:rsid w:val="00861F6E"/>
    <w:rsid w:val="0086248E"/>
    <w:rsid w:val="00862B0D"/>
    <w:rsid w:val="008641D3"/>
    <w:rsid w:val="00865517"/>
    <w:rsid w:val="008671DD"/>
    <w:rsid w:val="0086776D"/>
    <w:rsid w:val="00867E81"/>
    <w:rsid w:val="00871F5F"/>
    <w:rsid w:val="008729D7"/>
    <w:rsid w:val="00872FDD"/>
    <w:rsid w:val="008732ED"/>
    <w:rsid w:val="0087351C"/>
    <w:rsid w:val="008735E0"/>
    <w:rsid w:val="0087550D"/>
    <w:rsid w:val="008758D7"/>
    <w:rsid w:val="00875A7B"/>
    <w:rsid w:val="00876CC0"/>
    <w:rsid w:val="00880149"/>
    <w:rsid w:val="0088123E"/>
    <w:rsid w:val="00881576"/>
    <w:rsid w:val="0088190E"/>
    <w:rsid w:val="00881CFE"/>
    <w:rsid w:val="00881F03"/>
    <w:rsid w:val="00882079"/>
    <w:rsid w:val="008823C0"/>
    <w:rsid w:val="008827DE"/>
    <w:rsid w:val="00882A7B"/>
    <w:rsid w:val="00884A35"/>
    <w:rsid w:val="00884FDC"/>
    <w:rsid w:val="0088771B"/>
    <w:rsid w:val="0088792A"/>
    <w:rsid w:val="00887C22"/>
    <w:rsid w:val="00887C86"/>
    <w:rsid w:val="00887E13"/>
    <w:rsid w:val="008901BD"/>
    <w:rsid w:val="008907FA"/>
    <w:rsid w:val="00891611"/>
    <w:rsid w:val="008926BD"/>
    <w:rsid w:val="00892CD7"/>
    <w:rsid w:val="008930CD"/>
    <w:rsid w:val="008940EC"/>
    <w:rsid w:val="00895694"/>
    <w:rsid w:val="0089574A"/>
    <w:rsid w:val="008959D5"/>
    <w:rsid w:val="00895A86"/>
    <w:rsid w:val="00896C69"/>
    <w:rsid w:val="008973F2"/>
    <w:rsid w:val="0089772A"/>
    <w:rsid w:val="008977EF"/>
    <w:rsid w:val="00897F67"/>
    <w:rsid w:val="008A006B"/>
    <w:rsid w:val="008A14EA"/>
    <w:rsid w:val="008A184A"/>
    <w:rsid w:val="008A19D6"/>
    <w:rsid w:val="008A19F7"/>
    <w:rsid w:val="008A1B87"/>
    <w:rsid w:val="008A269A"/>
    <w:rsid w:val="008A2A1A"/>
    <w:rsid w:val="008A3BEF"/>
    <w:rsid w:val="008A4C2B"/>
    <w:rsid w:val="008A52C4"/>
    <w:rsid w:val="008A5AF4"/>
    <w:rsid w:val="008A64F2"/>
    <w:rsid w:val="008B13CB"/>
    <w:rsid w:val="008B22FB"/>
    <w:rsid w:val="008B2A03"/>
    <w:rsid w:val="008B32B9"/>
    <w:rsid w:val="008B3BA7"/>
    <w:rsid w:val="008B45F7"/>
    <w:rsid w:val="008B59E9"/>
    <w:rsid w:val="008B5F44"/>
    <w:rsid w:val="008B6B6E"/>
    <w:rsid w:val="008B6D34"/>
    <w:rsid w:val="008B6FD5"/>
    <w:rsid w:val="008B7184"/>
    <w:rsid w:val="008B763C"/>
    <w:rsid w:val="008B7E0D"/>
    <w:rsid w:val="008C0AA5"/>
    <w:rsid w:val="008C1342"/>
    <w:rsid w:val="008C1943"/>
    <w:rsid w:val="008C1989"/>
    <w:rsid w:val="008C19C7"/>
    <w:rsid w:val="008C4530"/>
    <w:rsid w:val="008C5BC2"/>
    <w:rsid w:val="008C616A"/>
    <w:rsid w:val="008C6616"/>
    <w:rsid w:val="008C6AAA"/>
    <w:rsid w:val="008C72FC"/>
    <w:rsid w:val="008C74F1"/>
    <w:rsid w:val="008C7E21"/>
    <w:rsid w:val="008D0EC9"/>
    <w:rsid w:val="008D1C0D"/>
    <w:rsid w:val="008D2223"/>
    <w:rsid w:val="008D22AD"/>
    <w:rsid w:val="008D36A6"/>
    <w:rsid w:val="008D3E59"/>
    <w:rsid w:val="008D4771"/>
    <w:rsid w:val="008D5A4C"/>
    <w:rsid w:val="008D5D86"/>
    <w:rsid w:val="008D6797"/>
    <w:rsid w:val="008D7A24"/>
    <w:rsid w:val="008E0738"/>
    <w:rsid w:val="008E0FA7"/>
    <w:rsid w:val="008E2050"/>
    <w:rsid w:val="008E4029"/>
    <w:rsid w:val="008E4A6C"/>
    <w:rsid w:val="008E5A71"/>
    <w:rsid w:val="008E72AD"/>
    <w:rsid w:val="008E759A"/>
    <w:rsid w:val="008E7B72"/>
    <w:rsid w:val="008F1791"/>
    <w:rsid w:val="008F2353"/>
    <w:rsid w:val="008F279A"/>
    <w:rsid w:val="008F27F8"/>
    <w:rsid w:val="008F371B"/>
    <w:rsid w:val="008F5AF0"/>
    <w:rsid w:val="008F61AF"/>
    <w:rsid w:val="008F656A"/>
    <w:rsid w:val="008F67B5"/>
    <w:rsid w:val="008F691D"/>
    <w:rsid w:val="008F7B60"/>
    <w:rsid w:val="00901414"/>
    <w:rsid w:val="009027BC"/>
    <w:rsid w:val="009032B7"/>
    <w:rsid w:val="009041C4"/>
    <w:rsid w:val="009043C5"/>
    <w:rsid w:val="00905C24"/>
    <w:rsid w:val="00906C75"/>
    <w:rsid w:val="00910134"/>
    <w:rsid w:val="00910962"/>
    <w:rsid w:val="009116E4"/>
    <w:rsid w:val="00911C81"/>
    <w:rsid w:val="00912120"/>
    <w:rsid w:val="009129AE"/>
    <w:rsid w:val="00912EE6"/>
    <w:rsid w:val="00913005"/>
    <w:rsid w:val="00913CC6"/>
    <w:rsid w:val="00916AD1"/>
    <w:rsid w:val="00916E75"/>
    <w:rsid w:val="00920A60"/>
    <w:rsid w:val="00922529"/>
    <w:rsid w:val="009254E9"/>
    <w:rsid w:val="0092605C"/>
    <w:rsid w:val="00926707"/>
    <w:rsid w:val="00926D36"/>
    <w:rsid w:val="009272CE"/>
    <w:rsid w:val="009275E0"/>
    <w:rsid w:val="00927879"/>
    <w:rsid w:val="00927EA6"/>
    <w:rsid w:val="00930AD2"/>
    <w:rsid w:val="00930E94"/>
    <w:rsid w:val="00931A9A"/>
    <w:rsid w:val="00931AD0"/>
    <w:rsid w:val="00931C76"/>
    <w:rsid w:val="00932792"/>
    <w:rsid w:val="00933BC6"/>
    <w:rsid w:val="0093405E"/>
    <w:rsid w:val="00936107"/>
    <w:rsid w:val="0093700F"/>
    <w:rsid w:val="00937959"/>
    <w:rsid w:val="009400B8"/>
    <w:rsid w:val="00940E61"/>
    <w:rsid w:val="00941266"/>
    <w:rsid w:val="00941D57"/>
    <w:rsid w:val="00942457"/>
    <w:rsid w:val="00942605"/>
    <w:rsid w:val="00943FDD"/>
    <w:rsid w:val="009443C0"/>
    <w:rsid w:val="00944C1A"/>
    <w:rsid w:val="0094513F"/>
    <w:rsid w:val="00946C3E"/>
    <w:rsid w:val="00946EE8"/>
    <w:rsid w:val="00946FB0"/>
    <w:rsid w:val="00947421"/>
    <w:rsid w:val="0094767C"/>
    <w:rsid w:val="009501FE"/>
    <w:rsid w:val="0095051E"/>
    <w:rsid w:val="00950D66"/>
    <w:rsid w:val="009517F7"/>
    <w:rsid w:val="00954BCC"/>
    <w:rsid w:val="009569AA"/>
    <w:rsid w:val="00957F9A"/>
    <w:rsid w:val="00960907"/>
    <w:rsid w:val="009622C3"/>
    <w:rsid w:val="009645C1"/>
    <w:rsid w:val="009646D2"/>
    <w:rsid w:val="009659E5"/>
    <w:rsid w:val="00965FC5"/>
    <w:rsid w:val="009663F6"/>
    <w:rsid w:val="009708BC"/>
    <w:rsid w:val="009710B9"/>
    <w:rsid w:val="0097119F"/>
    <w:rsid w:val="00971CD0"/>
    <w:rsid w:val="00971CE0"/>
    <w:rsid w:val="009724E8"/>
    <w:rsid w:val="0097269E"/>
    <w:rsid w:val="0097292D"/>
    <w:rsid w:val="0097347C"/>
    <w:rsid w:val="009735BE"/>
    <w:rsid w:val="00973B11"/>
    <w:rsid w:val="00973DE3"/>
    <w:rsid w:val="009753B1"/>
    <w:rsid w:val="00976571"/>
    <w:rsid w:val="00977DFB"/>
    <w:rsid w:val="00980146"/>
    <w:rsid w:val="00983D18"/>
    <w:rsid w:val="0098453D"/>
    <w:rsid w:val="009847FB"/>
    <w:rsid w:val="00985047"/>
    <w:rsid w:val="009850D3"/>
    <w:rsid w:val="009853A8"/>
    <w:rsid w:val="00991FAF"/>
    <w:rsid w:val="00992137"/>
    <w:rsid w:val="0099252A"/>
    <w:rsid w:val="00994C23"/>
    <w:rsid w:val="00996585"/>
    <w:rsid w:val="009970AA"/>
    <w:rsid w:val="009A09A6"/>
    <w:rsid w:val="009A0A67"/>
    <w:rsid w:val="009A196C"/>
    <w:rsid w:val="009A1A9B"/>
    <w:rsid w:val="009A24B5"/>
    <w:rsid w:val="009A2558"/>
    <w:rsid w:val="009A27A2"/>
    <w:rsid w:val="009A3F61"/>
    <w:rsid w:val="009A4FA1"/>
    <w:rsid w:val="009A4FA7"/>
    <w:rsid w:val="009A5705"/>
    <w:rsid w:val="009A7628"/>
    <w:rsid w:val="009A7D10"/>
    <w:rsid w:val="009B0B78"/>
    <w:rsid w:val="009B0E47"/>
    <w:rsid w:val="009B0F31"/>
    <w:rsid w:val="009B2180"/>
    <w:rsid w:val="009B264A"/>
    <w:rsid w:val="009B2743"/>
    <w:rsid w:val="009B3303"/>
    <w:rsid w:val="009B3E5B"/>
    <w:rsid w:val="009B49D0"/>
    <w:rsid w:val="009B49F2"/>
    <w:rsid w:val="009B4D87"/>
    <w:rsid w:val="009B5020"/>
    <w:rsid w:val="009B5AB9"/>
    <w:rsid w:val="009B5E67"/>
    <w:rsid w:val="009B6267"/>
    <w:rsid w:val="009B66BF"/>
    <w:rsid w:val="009B6A55"/>
    <w:rsid w:val="009B6D0F"/>
    <w:rsid w:val="009B73CF"/>
    <w:rsid w:val="009C1281"/>
    <w:rsid w:val="009C1BBE"/>
    <w:rsid w:val="009C1D77"/>
    <w:rsid w:val="009C29A8"/>
    <w:rsid w:val="009C2C3C"/>
    <w:rsid w:val="009C2CF9"/>
    <w:rsid w:val="009C33FB"/>
    <w:rsid w:val="009C3B0F"/>
    <w:rsid w:val="009C49F8"/>
    <w:rsid w:val="009C542D"/>
    <w:rsid w:val="009C5890"/>
    <w:rsid w:val="009C6174"/>
    <w:rsid w:val="009C6692"/>
    <w:rsid w:val="009C6A79"/>
    <w:rsid w:val="009D035E"/>
    <w:rsid w:val="009D04B0"/>
    <w:rsid w:val="009D069F"/>
    <w:rsid w:val="009D0CDE"/>
    <w:rsid w:val="009D1DC3"/>
    <w:rsid w:val="009D1E73"/>
    <w:rsid w:val="009D27C1"/>
    <w:rsid w:val="009D2D4D"/>
    <w:rsid w:val="009D2ECB"/>
    <w:rsid w:val="009D3DC3"/>
    <w:rsid w:val="009D3DC5"/>
    <w:rsid w:val="009D48E7"/>
    <w:rsid w:val="009D4AE9"/>
    <w:rsid w:val="009D51CA"/>
    <w:rsid w:val="009D54E2"/>
    <w:rsid w:val="009D55AA"/>
    <w:rsid w:val="009D6658"/>
    <w:rsid w:val="009D71FD"/>
    <w:rsid w:val="009D772E"/>
    <w:rsid w:val="009E02BD"/>
    <w:rsid w:val="009E04CA"/>
    <w:rsid w:val="009E090F"/>
    <w:rsid w:val="009E0E94"/>
    <w:rsid w:val="009E2905"/>
    <w:rsid w:val="009E2B6F"/>
    <w:rsid w:val="009E2BC7"/>
    <w:rsid w:val="009E3ADC"/>
    <w:rsid w:val="009E42F1"/>
    <w:rsid w:val="009E4E1B"/>
    <w:rsid w:val="009E5202"/>
    <w:rsid w:val="009E5A44"/>
    <w:rsid w:val="009E5AEB"/>
    <w:rsid w:val="009E5C73"/>
    <w:rsid w:val="009E6201"/>
    <w:rsid w:val="009E6B53"/>
    <w:rsid w:val="009E6EDE"/>
    <w:rsid w:val="009E76AD"/>
    <w:rsid w:val="009E7951"/>
    <w:rsid w:val="009F0162"/>
    <w:rsid w:val="009F01C6"/>
    <w:rsid w:val="009F046A"/>
    <w:rsid w:val="009F0915"/>
    <w:rsid w:val="009F0DD3"/>
    <w:rsid w:val="009F0FF5"/>
    <w:rsid w:val="009F22F7"/>
    <w:rsid w:val="009F37EA"/>
    <w:rsid w:val="009F4F90"/>
    <w:rsid w:val="009F51AC"/>
    <w:rsid w:val="009F630A"/>
    <w:rsid w:val="009F73D5"/>
    <w:rsid w:val="009F7B4A"/>
    <w:rsid w:val="009F7EBA"/>
    <w:rsid w:val="00A01127"/>
    <w:rsid w:val="00A027C7"/>
    <w:rsid w:val="00A02C95"/>
    <w:rsid w:val="00A0359E"/>
    <w:rsid w:val="00A0543E"/>
    <w:rsid w:val="00A05558"/>
    <w:rsid w:val="00A06487"/>
    <w:rsid w:val="00A070DB"/>
    <w:rsid w:val="00A106EE"/>
    <w:rsid w:val="00A10B71"/>
    <w:rsid w:val="00A10BA8"/>
    <w:rsid w:val="00A1219F"/>
    <w:rsid w:val="00A124B0"/>
    <w:rsid w:val="00A13C08"/>
    <w:rsid w:val="00A15DB1"/>
    <w:rsid w:val="00A1642B"/>
    <w:rsid w:val="00A173E0"/>
    <w:rsid w:val="00A1775C"/>
    <w:rsid w:val="00A17ED6"/>
    <w:rsid w:val="00A202B8"/>
    <w:rsid w:val="00A20F48"/>
    <w:rsid w:val="00A215F0"/>
    <w:rsid w:val="00A222AA"/>
    <w:rsid w:val="00A224E0"/>
    <w:rsid w:val="00A22D90"/>
    <w:rsid w:val="00A23E04"/>
    <w:rsid w:val="00A255F1"/>
    <w:rsid w:val="00A25B11"/>
    <w:rsid w:val="00A27686"/>
    <w:rsid w:val="00A27FD3"/>
    <w:rsid w:val="00A308BF"/>
    <w:rsid w:val="00A319A9"/>
    <w:rsid w:val="00A3246F"/>
    <w:rsid w:val="00A3311D"/>
    <w:rsid w:val="00A33133"/>
    <w:rsid w:val="00A33DE5"/>
    <w:rsid w:val="00A355B4"/>
    <w:rsid w:val="00A36AD5"/>
    <w:rsid w:val="00A40021"/>
    <w:rsid w:val="00A40668"/>
    <w:rsid w:val="00A40707"/>
    <w:rsid w:val="00A41869"/>
    <w:rsid w:val="00A42E34"/>
    <w:rsid w:val="00A44785"/>
    <w:rsid w:val="00A4529A"/>
    <w:rsid w:val="00A4547E"/>
    <w:rsid w:val="00A47761"/>
    <w:rsid w:val="00A47B8E"/>
    <w:rsid w:val="00A47DDA"/>
    <w:rsid w:val="00A5036A"/>
    <w:rsid w:val="00A50610"/>
    <w:rsid w:val="00A50B5E"/>
    <w:rsid w:val="00A50E55"/>
    <w:rsid w:val="00A50E98"/>
    <w:rsid w:val="00A50FB0"/>
    <w:rsid w:val="00A5206E"/>
    <w:rsid w:val="00A52081"/>
    <w:rsid w:val="00A520EB"/>
    <w:rsid w:val="00A542D2"/>
    <w:rsid w:val="00A54C0B"/>
    <w:rsid w:val="00A553C5"/>
    <w:rsid w:val="00A55ADD"/>
    <w:rsid w:val="00A56140"/>
    <w:rsid w:val="00A565B4"/>
    <w:rsid w:val="00A56AC6"/>
    <w:rsid w:val="00A56C90"/>
    <w:rsid w:val="00A56D78"/>
    <w:rsid w:val="00A57123"/>
    <w:rsid w:val="00A607F0"/>
    <w:rsid w:val="00A60A59"/>
    <w:rsid w:val="00A61334"/>
    <w:rsid w:val="00A614E1"/>
    <w:rsid w:val="00A6196E"/>
    <w:rsid w:val="00A6292C"/>
    <w:rsid w:val="00A64582"/>
    <w:rsid w:val="00A645EB"/>
    <w:rsid w:val="00A659EE"/>
    <w:rsid w:val="00A6694F"/>
    <w:rsid w:val="00A677AB"/>
    <w:rsid w:val="00A708B8"/>
    <w:rsid w:val="00A71873"/>
    <w:rsid w:val="00A71D75"/>
    <w:rsid w:val="00A724AA"/>
    <w:rsid w:val="00A72961"/>
    <w:rsid w:val="00A7373B"/>
    <w:rsid w:val="00A737BB"/>
    <w:rsid w:val="00A7387E"/>
    <w:rsid w:val="00A73B2B"/>
    <w:rsid w:val="00A747BF"/>
    <w:rsid w:val="00A74A83"/>
    <w:rsid w:val="00A75C0F"/>
    <w:rsid w:val="00A767FD"/>
    <w:rsid w:val="00A7724B"/>
    <w:rsid w:val="00A77B7F"/>
    <w:rsid w:val="00A80728"/>
    <w:rsid w:val="00A80EF2"/>
    <w:rsid w:val="00A81794"/>
    <w:rsid w:val="00A81847"/>
    <w:rsid w:val="00A82887"/>
    <w:rsid w:val="00A82B6D"/>
    <w:rsid w:val="00A84063"/>
    <w:rsid w:val="00A842F6"/>
    <w:rsid w:val="00A84A3C"/>
    <w:rsid w:val="00A84D5C"/>
    <w:rsid w:val="00A854BE"/>
    <w:rsid w:val="00A8589F"/>
    <w:rsid w:val="00A861AD"/>
    <w:rsid w:val="00A87FFE"/>
    <w:rsid w:val="00A90CC7"/>
    <w:rsid w:val="00A90E13"/>
    <w:rsid w:val="00A90EA6"/>
    <w:rsid w:val="00A9158B"/>
    <w:rsid w:val="00A917B2"/>
    <w:rsid w:val="00A91BD8"/>
    <w:rsid w:val="00A92AAD"/>
    <w:rsid w:val="00A93310"/>
    <w:rsid w:val="00A933DB"/>
    <w:rsid w:val="00A9348D"/>
    <w:rsid w:val="00A949A5"/>
    <w:rsid w:val="00A94AF6"/>
    <w:rsid w:val="00A960F3"/>
    <w:rsid w:val="00A96FC0"/>
    <w:rsid w:val="00A974A6"/>
    <w:rsid w:val="00A975B5"/>
    <w:rsid w:val="00AA0385"/>
    <w:rsid w:val="00AA0CD3"/>
    <w:rsid w:val="00AA0FBB"/>
    <w:rsid w:val="00AA29BB"/>
    <w:rsid w:val="00AA3339"/>
    <w:rsid w:val="00AA34FA"/>
    <w:rsid w:val="00AA3AA8"/>
    <w:rsid w:val="00AA4A89"/>
    <w:rsid w:val="00AA5424"/>
    <w:rsid w:val="00AA5DFB"/>
    <w:rsid w:val="00AA776E"/>
    <w:rsid w:val="00AA7FD5"/>
    <w:rsid w:val="00AB1F2D"/>
    <w:rsid w:val="00AB4A42"/>
    <w:rsid w:val="00AB5A15"/>
    <w:rsid w:val="00AB5CD4"/>
    <w:rsid w:val="00AB620F"/>
    <w:rsid w:val="00AB6409"/>
    <w:rsid w:val="00AB6675"/>
    <w:rsid w:val="00AB7754"/>
    <w:rsid w:val="00AC06FA"/>
    <w:rsid w:val="00AC0737"/>
    <w:rsid w:val="00AC1773"/>
    <w:rsid w:val="00AC250B"/>
    <w:rsid w:val="00AC26C3"/>
    <w:rsid w:val="00AC2BED"/>
    <w:rsid w:val="00AC36D6"/>
    <w:rsid w:val="00AC391D"/>
    <w:rsid w:val="00AC3C92"/>
    <w:rsid w:val="00AC6BE7"/>
    <w:rsid w:val="00AD0047"/>
    <w:rsid w:val="00AD0A88"/>
    <w:rsid w:val="00AD0E03"/>
    <w:rsid w:val="00AD1896"/>
    <w:rsid w:val="00AD4085"/>
    <w:rsid w:val="00AD454A"/>
    <w:rsid w:val="00AD46FE"/>
    <w:rsid w:val="00AD4890"/>
    <w:rsid w:val="00AD4FD6"/>
    <w:rsid w:val="00AD5046"/>
    <w:rsid w:val="00AD697A"/>
    <w:rsid w:val="00AD6BE2"/>
    <w:rsid w:val="00AD6E63"/>
    <w:rsid w:val="00AE19AF"/>
    <w:rsid w:val="00AE2294"/>
    <w:rsid w:val="00AE2B55"/>
    <w:rsid w:val="00AE4A7B"/>
    <w:rsid w:val="00AE4E04"/>
    <w:rsid w:val="00AE5F29"/>
    <w:rsid w:val="00AE7056"/>
    <w:rsid w:val="00AE78C7"/>
    <w:rsid w:val="00AE7909"/>
    <w:rsid w:val="00AE7D6D"/>
    <w:rsid w:val="00AF00DA"/>
    <w:rsid w:val="00AF013F"/>
    <w:rsid w:val="00AF01A4"/>
    <w:rsid w:val="00AF0813"/>
    <w:rsid w:val="00AF1B68"/>
    <w:rsid w:val="00AF29AA"/>
    <w:rsid w:val="00AF30D1"/>
    <w:rsid w:val="00AF38CA"/>
    <w:rsid w:val="00AF4633"/>
    <w:rsid w:val="00AF492D"/>
    <w:rsid w:val="00AF4D54"/>
    <w:rsid w:val="00AF505B"/>
    <w:rsid w:val="00AF5892"/>
    <w:rsid w:val="00AF59F8"/>
    <w:rsid w:val="00AF5E5E"/>
    <w:rsid w:val="00AF60BA"/>
    <w:rsid w:val="00AF6923"/>
    <w:rsid w:val="00AF699D"/>
    <w:rsid w:val="00AF6D12"/>
    <w:rsid w:val="00AF72DE"/>
    <w:rsid w:val="00AF76B2"/>
    <w:rsid w:val="00B01083"/>
    <w:rsid w:val="00B02075"/>
    <w:rsid w:val="00B020CC"/>
    <w:rsid w:val="00B0215B"/>
    <w:rsid w:val="00B02DAC"/>
    <w:rsid w:val="00B03C70"/>
    <w:rsid w:val="00B04130"/>
    <w:rsid w:val="00B04DE6"/>
    <w:rsid w:val="00B04E58"/>
    <w:rsid w:val="00B057E5"/>
    <w:rsid w:val="00B0589E"/>
    <w:rsid w:val="00B05D8D"/>
    <w:rsid w:val="00B06913"/>
    <w:rsid w:val="00B06DC9"/>
    <w:rsid w:val="00B07827"/>
    <w:rsid w:val="00B10BDE"/>
    <w:rsid w:val="00B12617"/>
    <w:rsid w:val="00B12A89"/>
    <w:rsid w:val="00B14107"/>
    <w:rsid w:val="00B141DC"/>
    <w:rsid w:val="00B15AD6"/>
    <w:rsid w:val="00B16039"/>
    <w:rsid w:val="00B1639B"/>
    <w:rsid w:val="00B16D68"/>
    <w:rsid w:val="00B1790D"/>
    <w:rsid w:val="00B17A0D"/>
    <w:rsid w:val="00B20051"/>
    <w:rsid w:val="00B208F1"/>
    <w:rsid w:val="00B20F6B"/>
    <w:rsid w:val="00B21164"/>
    <w:rsid w:val="00B211C4"/>
    <w:rsid w:val="00B226D0"/>
    <w:rsid w:val="00B22CCC"/>
    <w:rsid w:val="00B249B0"/>
    <w:rsid w:val="00B24EA4"/>
    <w:rsid w:val="00B2522D"/>
    <w:rsid w:val="00B25520"/>
    <w:rsid w:val="00B25F5E"/>
    <w:rsid w:val="00B268B8"/>
    <w:rsid w:val="00B27048"/>
    <w:rsid w:val="00B279DD"/>
    <w:rsid w:val="00B3003B"/>
    <w:rsid w:val="00B3067F"/>
    <w:rsid w:val="00B30FA7"/>
    <w:rsid w:val="00B3145C"/>
    <w:rsid w:val="00B31840"/>
    <w:rsid w:val="00B326BF"/>
    <w:rsid w:val="00B32C88"/>
    <w:rsid w:val="00B32D7F"/>
    <w:rsid w:val="00B3356C"/>
    <w:rsid w:val="00B33A58"/>
    <w:rsid w:val="00B3517F"/>
    <w:rsid w:val="00B354D8"/>
    <w:rsid w:val="00B35C7A"/>
    <w:rsid w:val="00B37138"/>
    <w:rsid w:val="00B3769D"/>
    <w:rsid w:val="00B3777D"/>
    <w:rsid w:val="00B40128"/>
    <w:rsid w:val="00B401A6"/>
    <w:rsid w:val="00B408F7"/>
    <w:rsid w:val="00B41B2F"/>
    <w:rsid w:val="00B44DAB"/>
    <w:rsid w:val="00B45178"/>
    <w:rsid w:val="00B45C3F"/>
    <w:rsid w:val="00B46E52"/>
    <w:rsid w:val="00B46F4E"/>
    <w:rsid w:val="00B470A2"/>
    <w:rsid w:val="00B47157"/>
    <w:rsid w:val="00B47BF9"/>
    <w:rsid w:val="00B47FDD"/>
    <w:rsid w:val="00B50038"/>
    <w:rsid w:val="00B50B80"/>
    <w:rsid w:val="00B533FA"/>
    <w:rsid w:val="00B53C28"/>
    <w:rsid w:val="00B54C7A"/>
    <w:rsid w:val="00B5615A"/>
    <w:rsid w:val="00B56A09"/>
    <w:rsid w:val="00B56D9F"/>
    <w:rsid w:val="00B57AF1"/>
    <w:rsid w:val="00B60611"/>
    <w:rsid w:val="00B61CD3"/>
    <w:rsid w:val="00B621C1"/>
    <w:rsid w:val="00B62C50"/>
    <w:rsid w:val="00B62F7E"/>
    <w:rsid w:val="00B6503F"/>
    <w:rsid w:val="00B66767"/>
    <w:rsid w:val="00B66C8E"/>
    <w:rsid w:val="00B70447"/>
    <w:rsid w:val="00B723D6"/>
    <w:rsid w:val="00B726A3"/>
    <w:rsid w:val="00B730BC"/>
    <w:rsid w:val="00B7355A"/>
    <w:rsid w:val="00B7399D"/>
    <w:rsid w:val="00B74E7A"/>
    <w:rsid w:val="00B7549E"/>
    <w:rsid w:val="00B758A6"/>
    <w:rsid w:val="00B75BB1"/>
    <w:rsid w:val="00B76004"/>
    <w:rsid w:val="00B7639C"/>
    <w:rsid w:val="00B807E8"/>
    <w:rsid w:val="00B80980"/>
    <w:rsid w:val="00B81626"/>
    <w:rsid w:val="00B82EB9"/>
    <w:rsid w:val="00B82F25"/>
    <w:rsid w:val="00B8364B"/>
    <w:rsid w:val="00B83827"/>
    <w:rsid w:val="00B8498D"/>
    <w:rsid w:val="00B849CC"/>
    <w:rsid w:val="00B850EE"/>
    <w:rsid w:val="00B87277"/>
    <w:rsid w:val="00B87367"/>
    <w:rsid w:val="00B87530"/>
    <w:rsid w:val="00B87933"/>
    <w:rsid w:val="00B901F5"/>
    <w:rsid w:val="00B9052B"/>
    <w:rsid w:val="00B91455"/>
    <w:rsid w:val="00B91567"/>
    <w:rsid w:val="00B9263D"/>
    <w:rsid w:val="00B92A3B"/>
    <w:rsid w:val="00B92D41"/>
    <w:rsid w:val="00B9325A"/>
    <w:rsid w:val="00B935CC"/>
    <w:rsid w:val="00B93752"/>
    <w:rsid w:val="00B94DA7"/>
    <w:rsid w:val="00B953D0"/>
    <w:rsid w:val="00B95EAF"/>
    <w:rsid w:val="00B96F4C"/>
    <w:rsid w:val="00B9711D"/>
    <w:rsid w:val="00BA0A71"/>
    <w:rsid w:val="00BA16E7"/>
    <w:rsid w:val="00BA1C53"/>
    <w:rsid w:val="00BA479A"/>
    <w:rsid w:val="00BA479F"/>
    <w:rsid w:val="00BA4C3A"/>
    <w:rsid w:val="00BA58AF"/>
    <w:rsid w:val="00BA617D"/>
    <w:rsid w:val="00BA6AC8"/>
    <w:rsid w:val="00BA6B26"/>
    <w:rsid w:val="00BA7EAD"/>
    <w:rsid w:val="00BB04D2"/>
    <w:rsid w:val="00BB098F"/>
    <w:rsid w:val="00BB0A2F"/>
    <w:rsid w:val="00BB0D81"/>
    <w:rsid w:val="00BB1B5C"/>
    <w:rsid w:val="00BB32AC"/>
    <w:rsid w:val="00BB3A26"/>
    <w:rsid w:val="00BB4332"/>
    <w:rsid w:val="00BB53BF"/>
    <w:rsid w:val="00BB57E9"/>
    <w:rsid w:val="00BB5BA6"/>
    <w:rsid w:val="00BC0CF2"/>
    <w:rsid w:val="00BC1259"/>
    <w:rsid w:val="00BC15C4"/>
    <w:rsid w:val="00BC1BD2"/>
    <w:rsid w:val="00BC2E90"/>
    <w:rsid w:val="00BC32DE"/>
    <w:rsid w:val="00BC3878"/>
    <w:rsid w:val="00BC39E8"/>
    <w:rsid w:val="00BC3F00"/>
    <w:rsid w:val="00BC4369"/>
    <w:rsid w:val="00BC556A"/>
    <w:rsid w:val="00BC57E5"/>
    <w:rsid w:val="00BC57E6"/>
    <w:rsid w:val="00BC59A7"/>
    <w:rsid w:val="00BC68D2"/>
    <w:rsid w:val="00BC6E16"/>
    <w:rsid w:val="00BC781A"/>
    <w:rsid w:val="00BC7BA9"/>
    <w:rsid w:val="00BD044B"/>
    <w:rsid w:val="00BD1147"/>
    <w:rsid w:val="00BD129E"/>
    <w:rsid w:val="00BD1F06"/>
    <w:rsid w:val="00BD2E63"/>
    <w:rsid w:val="00BD3109"/>
    <w:rsid w:val="00BD33DC"/>
    <w:rsid w:val="00BD35FF"/>
    <w:rsid w:val="00BD36F9"/>
    <w:rsid w:val="00BD3792"/>
    <w:rsid w:val="00BD3D94"/>
    <w:rsid w:val="00BD490D"/>
    <w:rsid w:val="00BD6036"/>
    <w:rsid w:val="00BD73F5"/>
    <w:rsid w:val="00BE00CA"/>
    <w:rsid w:val="00BE05CE"/>
    <w:rsid w:val="00BE1A98"/>
    <w:rsid w:val="00BE1AD1"/>
    <w:rsid w:val="00BE2AD0"/>
    <w:rsid w:val="00BE2BD7"/>
    <w:rsid w:val="00BE4EBF"/>
    <w:rsid w:val="00BE5C3C"/>
    <w:rsid w:val="00BE5C52"/>
    <w:rsid w:val="00BE74DA"/>
    <w:rsid w:val="00BE7A80"/>
    <w:rsid w:val="00BE7D55"/>
    <w:rsid w:val="00BF01AF"/>
    <w:rsid w:val="00BF0311"/>
    <w:rsid w:val="00BF0423"/>
    <w:rsid w:val="00BF09E8"/>
    <w:rsid w:val="00BF1070"/>
    <w:rsid w:val="00BF10D6"/>
    <w:rsid w:val="00BF1A51"/>
    <w:rsid w:val="00BF259D"/>
    <w:rsid w:val="00BF6ADD"/>
    <w:rsid w:val="00BF78E1"/>
    <w:rsid w:val="00C00058"/>
    <w:rsid w:val="00C00305"/>
    <w:rsid w:val="00C01040"/>
    <w:rsid w:val="00C01522"/>
    <w:rsid w:val="00C01C5D"/>
    <w:rsid w:val="00C01C73"/>
    <w:rsid w:val="00C01CE5"/>
    <w:rsid w:val="00C0206A"/>
    <w:rsid w:val="00C02DC6"/>
    <w:rsid w:val="00C04EDA"/>
    <w:rsid w:val="00C069A8"/>
    <w:rsid w:val="00C06E23"/>
    <w:rsid w:val="00C06F00"/>
    <w:rsid w:val="00C07BF5"/>
    <w:rsid w:val="00C106EC"/>
    <w:rsid w:val="00C118EE"/>
    <w:rsid w:val="00C11B14"/>
    <w:rsid w:val="00C11F3F"/>
    <w:rsid w:val="00C12284"/>
    <w:rsid w:val="00C1244A"/>
    <w:rsid w:val="00C12D80"/>
    <w:rsid w:val="00C14031"/>
    <w:rsid w:val="00C14BD6"/>
    <w:rsid w:val="00C14EA8"/>
    <w:rsid w:val="00C157B3"/>
    <w:rsid w:val="00C15DED"/>
    <w:rsid w:val="00C1695D"/>
    <w:rsid w:val="00C1731E"/>
    <w:rsid w:val="00C17688"/>
    <w:rsid w:val="00C178F5"/>
    <w:rsid w:val="00C17BAA"/>
    <w:rsid w:val="00C17F6E"/>
    <w:rsid w:val="00C20813"/>
    <w:rsid w:val="00C23265"/>
    <w:rsid w:val="00C2398A"/>
    <w:rsid w:val="00C24304"/>
    <w:rsid w:val="00C24DCB"/>
    <w:rsid w:val="00C26B09"/>
    <w:rsid w:val="00C27261"/>
    <w:rsid w:val="00C27948"/>
    <w:rsid w:val="00C3170A"/>
    <w:rsid w:val="00C3201B"/>
    <w:rsid w:val="00C32A1C"/>
    <w:rsid w:val="00C33003"/>
    <w:rsid w:val="00C339AF"/>
    <w:rsid w:val="00C341EC"/>
    <w:rsid w:val="00C34CD8"/>
    <w:rsid w:val="00C354DF"/>
    <w:rsid w:val="00C36740"/>
    <w:rsid w:val="00C3759B"/>
    <w:rsid w:val="00C37AF9"/>
    <w:rsid w:val="00C37BA5"/>
    <w:rsid w:val="00C37EB2"/>
    <w:rsid w:val="00C40552"/>
    <w:rsid w:val="00C41C6D"/>
    <w:rsid w:val="00C428BE"/>
    <w:rsid w:val="00C439F1"/>
    <w:rsid w:val="00C43C86"/>
    <w:rsid w:val="00C452C4"/>
    <w:rsid w:val="00C46D04"/>
    <w:rsid w:val="00C46DCF"/>
    <w:rsid w:val="00C46E92"/>
    <w:rsid w:val="00C50423"/>
    <w:rsid w:val="00C509FC"/>
    <w:rsid w:val="00C50C08"/>
    <w:rsid w:val="00C51308"/>
    <w:rsid w:val="00C51D66"/>
    <w:rsid w:val="00C52505"/>
    <w:rsid w:val="00C53B39"/>
    <w:rsid w:val="00C53DFF"/>
    <w:rsid w:val="00C55D64"/>
    <w:rsid w:val="00C5677A"/>
    <w:rsid w:val="00C608A4"/>
    <w:rsid w:val="00C6115D"/>
    <w:rsid w:val="00C614F1"/>
    <w:rsid w:val="00C61CF2"/>
    <w:rsid w:val="00C62294"/>
    <w:rsid w:val="00C62848"/>
    <w:rsid w:val="00C628CE"/>
    <w:rsid w:val="00C63B03"/>
    <w:rsid w:val="00C63BAC"/>
    <w:rsid w:val="00C6421F"/>
    <w:rsid w:val="00C645AB"/>
    <w:rsid w:val="00C646A2"/>
    <w:rsid w:val="00C651DC"/>
    <w:rsid w:val="00C67157"/>
    <w:rsid w:val="00C70236"/>
    <w:rsid w:val="00C717A8"/>
    <w:rsid w:val="00C718AE"/>
    <w:rsid w:val="00C71996"/>
    <w:rsid w:val="00C724CC"/>
    <w:rsid w:val="00C726BD"/>
    <w:rsid w:val="00C73BA7"/>
    <w:rsid w:val="00C73C0F"/>
    <w:rsid w:val="00C75DF2"/>
    <w:rsid w:val="00C769A0"/>
    <w:rsid w:val="00C76A95"/>
    <w:rsid w:val="00C76F16"/>
    <w:rsid w:val="00C7722F"/>
    <w:rsid w:val="00C77239"/>
    <w:rsid w:val="00C777FC"/>
    <w:rsid w:val="00C77CBA"/>
    <w:rsid w:val="00C804B0"/>
    <w:rsid w:val="00C80FB3"/>
    <w:rsid w:val="00C816B3"/>
    <w:rsid w:val="00C81E4C"/>
    <w:rsid w:val="00C82BEC"/>
    <w:rsid w:val="00C82FEB"/>
    <w:rsid w:val="00C83C6A"/>
    <w:rsid w:val="00C84CDE"/>
    <w:rsid w:val="00C84D89"/>
    <w:rsid w:val="00C85932"/>
    <w:rsid w:val="00C85AE2"/>
    <w:rsid w:val="00C8601F"/>
    <w:rsid w:val="00C86733"/>
    <w:rsid w:val="00C87309"/>
    <w:rsid w:val="00C87344"/>
    <w:rsid w:val="00C9054D"/>
    <w:rsid w:val="00C90BFD"/>
    <w:rsid w:val="00C9154B"/>
    <w:rsid w:val="00C933A9"/>
    <w:rsid w:val="00C939F4"/>
    <w:rsid w:val="00C954BC"/>
    <w:rsid w:val="00C9643C"/>
    <w:rsid w:val="00C966DB"/>
    <w:rsid w:val="00C96FB7"/>
    <w:rsid w:val="00C97094"/>
    <w:rsid w:val="00C97CF2"/>
    <w:rsid w:val="00CA1812"/>
    <w:rsid w:val="00CA2453"/>
    <w:rsid w:val="00CA2865"/>
    <w:rsid w:val="00CA2AE4"/>
    <w:rsid w:val="00CA2CC3"/>
    <w:rsid w:val="00CA38FE"/>
    <w:rsid w:val="00CA490E"/>
    <w:rsid w:val="00CA6ADB"/>
    <w:rsid w:val="00CB0650"/>
    <w:rsid w:val="00CB10F2"/>
    <w:rsid w:val="00CB1223"/>
    <w:rsid w:val="00CB1291"/>
    <w:rsid w:val="00CB1B1D"/>
    <w:rsid w:val="00CB2100"/>
    <w:rsid w:val="00CB2714"/>
    <w:rsid w:val="00CB2C54"/>
    <w:rsid w:val="00CB2D11"/>
    <w:rsid w:val="00CB3A12"/>
    <w:rsid w:val="00CB41A8"/>
    <w:rsid w:val="00CB4ED3"/>
    <w:rsid w:val="00CC0176"/>
    <w:rsid w:val="00CC0317"/>
    <w:rsid w:val="00CC0AFE"/>
    <w:rsid w:val="00CC0D61"/>
    <w:rsid w:val="00CC18D0"/>
    <w:rsid w:val="00CC1EBA"/>
    <w:rsid w:val="00CC2600"/>
    <w:rsid w:val="00CC2A1F"/>
    <w:rsid w:val="00CC5292"/>
    <w:rsid w:val="00CC7B5E"/>
    <w:rsid w:val="00CC7E54"/>
    <w:rsid w:val="00CD1937"/>
    <w:rsid w:val="00CD2444"/>
    <w:rsid w:val="00CD2F4A"/>
    <w:rsid w:val="00CD478F"/>
    <w:rsid w:val="00CD5E7C"/>
    <w:rsid w:val="00CD61AB"/>
    <w:rsid w:val="00CD76A9"/>
    <w:rsid w:val="00CE0752"/>
    <w:rsid w:val="00CE1018"/>
    <w:rsid w:val="00CE1423"/>
    <w:rsid w:val="00CE1639"/>
    <w:rsid w:val="00CE348D"/>
    <w:rsid w:val="00CE4348"/>
    <w:rsid w:val="00CE477B"/>
    <w:rsid w:val="00CE48B0"/>
    <w:rsid w:val="00CE5304"/>
    <w:rsid w:val="00CE564C"/>
    <w:rsid w:val="00CE5FE2"/>
    <w:rsid w:val="00CE6056"/>
    <w:rsid w:val="00CE7D00"/>
    <w:rsid w:val="00CF0137"/>
    <w:rsid w:val="00CF0E40"/>
    <w:rsid w:val="00CF1A94"/>
    <w:rsid w:val="00CF2212"/>
    <w:rsid w:val="00CF234E"/>
    <w:rsid w:val="00CF2FF1"/>
    <w:rsid w:val="00CF4213"/>
    <w:rsid w:val="00CF4D64"/>
    <w:rsid w:val="00CF74AC"/>
    <w:rsid w:val="00D00652"/>
    <w:rsid w:val="00D0081E"/>
    <w:rsid w:val="00D00984"/>
    <w:rsid w:val="00D00BC6"/>
    <w:rsid w:val="00D00E16"/>
    <w:rsid w:val="00D01D06"/>
    <w:rsid w:val="00D01D10"/>
    <w:rsid w:val="00D03593"/>
    <w:rsid w:val="00D035B5"/>
    <w:rsid w:val="00D0490D"/>
    <w:rsid w:val="00D059FE"/>
    <w:rsid w:val="00D06E41"/>
    <w:rsid w:val="00D12DC8"/>
    <w:rsid w:val="00D12DE3"/>
    <w:rsid w:val="00D12F64"/>
    <w:rsid w:val="00D1434E"/>
    <w:rsid w:val="00D152FF"/>
    <w:rsid w:val="00D156A4"/>
    <w:rsid w:val="00D1582B"/>
    <w:rsid w:val="00D16A76"/>
    <w:rsid w:val="00D16D6F"/>
    <w:rsid w:val="00D17A01"/>
    <w:rsid w:val="00D17E5C"/>
    <w:rsid w:val="00D17F0E"/>
    <w:rsid w:val="00D22695"/>
    <w:rsid w:val="00D22865"/>
    <w:rsid w:val="00D22C93"/>
    <w:rsid w:val="00D24416"/>
    <w:rsid w:val="00D247A1"/>
    <w:rsid w:val="00D248F0"/>
    <w:rsid w:val="00D24B81"/>
    <w:rsid w:val="00D24DF5"/>
    <w:rsid w:val="00D26231"/>
    <w:rsid w:val="00D2730E"/>
    <w:rsid w:val="00D2757A"/>
    <w:rsid w:val="00D3133D"/>
    <w:rsid w:val="00D3141F"/>
    <w:rsid w:val="00D31654"/>
    <w:rsid w:val="00D31C60"/>
    <w:rsid w:val="00D31C73"/>
    <w:rsid w:val="00D3352A"/>
    <w:rsid w:val="00D33A80"/>
    <w:rsid w:val="00D348C7"/>
    <w:rsid w:val="00D35C56"/>
    <w:rsid w:val="00D35CD5"/>
    <w:rsid w:val="00D361C3"/>
    <w:rsid w:val="00D36A67"/>
    <w:rsid w:val="00D36C52"/>
    <w:rsid w:val="00D37866"/>
    <w:rsid w:val="00D37BBC"/>
    <w:rsid w:val="00D412B4"/>
    <w:rsid w:val="00D417F4"/>
    <w:rsid w:val="00D4187D"/>
    <w:rsid w:val="00D4213B"/>
    <w:rsid w:val="00D42ACE"/>
    <w:rsid w:val="00D42BFE"/>
    <w:rsid w:val="00D43A60"/>
    <w:rsid w:val="00D440DB"/>
    <w:rsid w:val="00D444DD"/>
    <w:rsid w:val="00D44CD4"/>
    <w:rsid w:val="00D44F4F"/>
    <w:rsid w:val="00D4522A"/>
    <w:rsid w:val="00D45D37"/>
    <w:rsid w:val="00D4686E"/>
    <w:rsid w:val="00D46DBC"/>
    <w:rsid w:val="00D46F6A"/>
    <w:rsid w:val="00D47038"/>
    <w:rsid w:val="00D501BC"/>
    <w:rsid w:val="00D50B92"/>
    <w:rsid w:val="00D52361"/>
    <w:rsid w:val="00D52C89"/>
    <w:rsid w:val="00D54195"/>
    <w:rsid w:val="00D541FD"/>
    <w:rsid w:val="00D54B6B"/>
    <w:rsid w:val="00D55CBE"/>
    <w:rsid w:val="00D562FD"/>
    <w:rsid w:val="00D564E5"/>
    <w:rsid w:val="00D56F88"/>
    <w:rsid w:val="00D57490"/>
    <w:rsid w:val="00D57653"/>
    <w:rsid w:val="00D57828"/>
    <w:rsid w:val="00D62C29"/>
    <w:rsid w:val="00D632C3"/>
    <w:rsid w:val="00D6525B"/>
    <w:rsid w:val="00D65E36"/>
    <w:rsid w:val="00D66694"/>
    <w:rsid w:val="00D66F39"/>
    <w:rsid w:val="00D7030C"/>
    <w:rsid w:val="00D70672"/>
    <w:rsid w:val="00D7098B"/>
    <w:rsid w:val="00D70DA0"/>
    <w:rsid w:val="00D70EC5"/>
    <w:rsid w:val="00D72877"/>
    <w:rsid w:val="00D72B7D"/>
    <w:rsid w:val="00D73825"/>
    <w:rsid w:val="00D73D5F"/>
    <w:rsid w:val="00D74312"/>
    <w:rsid w:val="00D7609E"/>
    <w:rsid w:val="00D762D7"/>
    <w:rsid w:val="00D763AD"/>
    <w:rsid w:val="00D76C49"/>
    <w:rsid w:val="00D773EB"/>
    <w:rsid w:val="00D77F15"/>
    <w:rsid w:val="00D81374"/>
    <w:rsid w:val="00D81E94"/>
    <w:rsid w:val="00D8234D"/>
    <w:rsid w:val="00D8283B"/>
    <w:rsid w:val="00D8287E"/>
    <w:rsid w:val="00D8330B"/>
    <w:rsid w:val="00D838E1"/>
    <w:rsid w:val="00D8433D"/>
    <w:rsid w:val="00D84371"/>
    <w:rsid w:val="00D854E4"/>
    <w:rsid w:val="00D86530"/>
    <w:rsid w:val="00D868F3"/>
    <w:rsid w:val="00D86B42"/>
    <w:rsid w:val="00D86EE0"/>
    <w:rsid w:val="00D902EE"/>
    <w:rsid w:val="00D908B5"/>
    <w:rsid w:val="00D9108A"/>
    <w:rsid w:val="00D910A9"/>
    <w:rsid w:val="00D92399"/>
    <w:rsid w:val="00D928AE"/>
    <w:rsid w:val="00D92C19"/>
    <w:rsid w:val="00D936FC"/>
    <w:rsid w:val="00D939F4"/>
    <w:rsid w:val="00D94205"/>
    <w:rsid w:val="00D955E1"/>
    <w:rsid w:val="00DA0228"/>
    <w:rsid w:val="00DA0444"/>
    <w:rsid w:val="00DA0606"/>
    <w:rsid w:val="00DA084C"/>
    <w:rsid w:val="00DA1148"/>
    <w:rsid w:val="00DA1355"/>
    <w:rsid w:val="00DA161A"/>
    <w:rsid w:val="00DA1B21"/>
    <w:rsid w:val="00DA1B64"/>
    <w:rsid w:val="00DA221A"/>
    <w:rsid w:val="00DA2DF4"/>
    <w:rsid w:val="00DA36FB"/>
    <w:rsid w:val="00DA54D5"/>
    <w:rsid w:val="00DA5AB3"/>
    <w:rsid w:val="00DA5FD1"/>
    <w:rsid w:val="00DA63E3"/>
    <w:rsid w:val="00DA7163"/>
    <w:rsid w:val="00DB0909"/>
    <w:rsid w:val="00DB0AA9"/>
    <w:rsid w:val="00DB0ED3"/>
    <w:rsid w:val="00DB11E4"/>
    <w:rsid w:val="00DB286D"/>
    <w:rsid w:val="00DB364E"/>
    <w:rsid w:val="00DB4836"/>
    <w:rsid w:val="00DB5545"/>
    <w:rsid w:val="00DB6166"/>
    <w:rsid w:val="00DB6D1A"/>
    <w:rsid w:val="00DB74C2"/>
    <w:rsid w:val="00DB7AA7"/>
    <w:rsid w:val="00DC1036"/>
    <w:rsid w:val="00DC1407"/>
    <w:rsid w:val="00DC1EFD"/>
    <w:rsid w:val="00DC28A7"/>
    <w:rsid w:val="00DC2B03"/>
    <w:rsid w:val="00DC308A"/>
    <w:rsid w:val="00DC3348"/>
    <w:rsid w:val="00DC44ED"/>
    <w:rsid w:val="00DC6B57"/>
    <w:rsid w:val="00DC6B7B"/>
    <w:rsid w:val="00DC6E72"/>
    <w:rsid w:val="00DC70A3"/>
    <w:rsid w:val="00DC7752"/>
    <w:rsid w:val="00DD1282"/>
    <w:rsid w:val="00DD1398"/>
    <w:rsid w:val="00DD1A3C"/>
    <w:rsid w:val="00DD1FE5"/>
    <w:rsid w:val="00DD36BC"/>
    <w:rsid w:val="00DD3DD5"/>
    <w:rsid w:val="00DD50C4"/>
    <w:rsid w:val="00DD5D1A"/>
    <w:rsid w:val="00DD68F7"/>
    <w:rsid w:val="00DD76D4"/>
    <w:rsid w:val="00DE23DB"/>
    <w:rsid w:val="00DE2AC7"/>
    <w:rsid w:val="00DE2E76"/>
    <w:rsid w:val="00DE3134"/>
    <w:rsid w:val="00DE378B"/>
    <w:rsid w:val="00DE42DB"/>
    <w:rsid w:val="00DE71E8"/>
    <w:rsid w:val="00DE7209"/>
    <w:rsid w:val="00DE77BC"/>
    <w:rsid w:val="00DF18DB"/>
    <w:rsid w:val="00DF2315"/>
    <w:rsid w:val="00DF2DA1"/>
    <w:rsid w:val="00DF3179"/>
    <w:rsid w:val="00DF3574"/>
    <w:rsid w:val="00DF5F26"/>
    <w:rsid w:val="00DF73AE"/>
    <w:rsid w:val="00DF7CE8"/>
    <w:rsid w:val="00DF7F38"/>
    <w:rsid w:val="00E01C4A"/>
    <w:rsid w:val="00E039EE"/>
    <w:rsid w:val="00E03E5E"/>
    <w:rsid w:val="00E05F45"/>
    <w:rsid w:val="00E077AD"/>
    <w:rsid w:val="00E10820"/>
    <w:rsid w:val="00E1168A"/>
    <w:rsid w:val="00E11F2D"/>
    <w:rsid w:val="00E1213E"/>
    <w:rsid w:val="00E1335F"/>
    <w:rsid w:val="00E13D58"/>
    <w:rsid w:val="00E14A69"/>
    <w:rsid w:val="00E1551C"/>
    <w:rsid w:val="00E156C9"/>
    <w:rsid w:val="00E17823"/>
    <w:rsid w:val="00E17F9D"/>
    <w:rsid w:val="00E206E4"/>
    <w:rsid w:val="00E20842"/>
    <w:rsid w:val="00E21EA0"/>
    <w:rsid w:val="00E23579"/>
    <w:rsid w:val="00E249D5"/>
    <w:rsid w:val="00E24A00"/>
    <w:rsid w:val="00E24AB6"/>
    <w:rsid w:val="00E24F4E"/>
    <w:rsid w:val="00E255B8"/>
    <w:rsid w:val="00E26993"/>
    <w:rsid w:val="00E27EC3"/>
    <w:rsid w:val="00E3158F"/>
    <w:rsid w:val="00E319A4"/>
    <w:rsid w:val="00E31D5B"/>
    <w:rsid w:val="00E3212C"/>
    <w:rsid w:val="00E32A14"/>
    <w:rsid w:val="00E32B19"/>
    <w:rsid w:val="00E3326B"/>
    <w:rsid w:val="00E340A0"/>
    <w:rsid w:val="00E34734"/>
    <w:rsid w:val="00E3526E"/>
    <w:rsid w:val="00E3628A"/>
    <w:rsid w:val="00E3645F"/>
    <w:rsid w:val="00E36880"/>
    <w:rsid w:val="00E4047B"/>
    <w:rsid w:val="00E4162E"/>
    <w:rsid w:val="00E4330F"/>
    <w:rsid w:val="00E43E86"/>
    <w:rsid w:val="00E44584"/>
    <w:rsid w:val="00E448F0"/>
    <w:rsid w:val="00E44EE3"/>
    <w:rsid w:val="00E45165"/>
    <w:rsid w:val="00E45797"/>
    <w:rsid w:val="00E45ABA"/>
    <w:rsid w:val="00E45EFB"/>
    <w:rsid w:val="00E45F38"/>
    <w:rsid w:val="00E473E1"/>
    <w:rsid w:val="00E47729"/>
    <w:rsid w:val="00E478E8"/>
    <w:rsid w:val="00E479B0"/>
    <w:rsid w:val="00E47A00"/>
    <w:rsid w:val="00E47B02"/>
    <w:rsid w:val="00E50E65"/>
    <w:rsid w:val="00E51148"/>
    <w:rsid w:val="00E5186A"/>
    <w:rsid w:val="00E52BC2"/>
    <w:rsid w:val="00E52DDD"/>
    <w:rsid w:val="00E53913"/>
    <w:rsid w:val="00E539CA"/>
    <w:rsid w:val="00E55FF3"/>
    <w:rsid w:val="00E5673D"/>
    <w:rsid w:val="00E56F59"/>
    <w:rsid w:val="00E570FD"/>
    <w:rsid w:val="00E60E50"/>
    <w:rsid w:val="00E61DFA"/>
    <w:rsid w:val="00E61FE5"/>
    <w:rsid w:val="00E62D08"/>
    <w:rsid w:val="00E635A7"/>
    <w:rsid w:val="00E6363C"/>
    <w:rsid w:val="00E63E96"/>
    <w:rsid w:val="00E644B4"/>
    <w:rsid w:val="00E64832"/>
    <w:rsid w:val="00E64CF0"/>
    <w:rsid w:val="00E66E9B"/>
    <w:rsid w:val="00E67571"/>
    <w:rsid w:val="00E677AF"/>
    <w:rsid w:val="00E67F7E"/>
    <w:rsid w:val="00E704AA"/>
    <w:rsid w:val="00E70B51"/>
    <w:rsid w:val="00E720F8"/>
    <w:rsid w:val="00E724B2"/>
    <w:rsid w:val="00E74A10"/>
    <w:rsid w:val="00E76C65"/>
    <w:rsid w:val="00E76D92"/>
    <w:rsid w:val="00E77043"/>
    <w:rsid w:val="00E7710D"/>
    <w:rsid w:val="00E810C6"/>
    <w:rsid w:val="00E81141"/>
    <w:rsid w:val="00E81CA8"/>
    <w:rsid w:val="00E81E80"/>
    <w:rsid w:val="00E81F57"/>
    <w:rsid w:val="00E8383A"/>
    <w:rsid w:val="00E84CB2"/>
    <w:rsid w:val="00E8533A"/>
    <w:rsid w:val="00E860A9"/>
    <w:rsid w:val="00E868BB"/>
    <w:rsid w:val="00E87593"/>
    <w:rsid w:val="00E90486"/>
    <w:rsid w:val="00E919CA"/>
    <w:rsid w:val="00E91C0A"/>
    <w:rsid w:val="00E93631"/>
    <w:rsid w:val="00E94629"/>
    <w:rsid w:val="00E95189"/>
    <w:rsid w:val="00E95B26"/>
    <w:rsid w:val="00E96554"/>
    <w:rsid w:val="00E96809"/>
    <w:rsid w:val="00E970A6"/>
    <w:rsid w:val="00E977D1"/>
    <w:rsid w:val="00EA01BD"/>
    <w:rsid w:val="00EA0C69"/>
    <w:rsid w:val="00EA0DB3"/>
    <w:rsid w:val="00EA1E16"/>
    <w:rsid w:val="00EA2C34"/>
    <w:rsid w:val="00EA2FD0"/>
    <w:rsid w:val="00EA337A"/>
    <w:rsid w:val="00EA5262"/>
    <w:rsid w:val="00EA5B8A"/>
    <w:rsid w:val="00EA6F47"/>
    <w:rsid w:val="00EA73CD"/>
    <w:rsid w:val="00EB0CE7"/>
    <w:rsid w:val="00EB1E6E"/>
    <w:rsid w:val="00EB4C1C"/>
    <w:rsid w:val="00EB4F5A"/>
    <w:rsid w:val="00EB5F26"/>
    <w:rsid w:val="00EB6163"/>
    <w:rsid w:val="00EB61FB"/>
    <w:rsid w:val="00EB65BA"/>
    <w:rsid w:val="00EB6CC7"/>
    <w:rsid w:val="00EB7637"/>
    <w:rsid w:val="00EB7BED"/>
    <w:rsid w:val="00EC0AAF"/>
    <w:rsid w:val="00EC0F68"/>
    <w:rsid w:val="00EC15C5"/>
    <w:rsid w:val="00EC235F"/>
    <w:rsid w:val="00EC2CF9"/>
    <w:rsid w:val="00EC32DC"/>
    <w:rsid w:val="00EC54BD"/>
    <w:rsid w:val="00EC5500"/>
    <w:rsid w:val="00ED01D1"/>
    <w:rsid w:val="00ED1547"/>
    <w:rsid w:val="00ED4A5D"/>
    <w:rsid w:val="00ED5535"/>
    <w:rsid w:val="00ED5A4D"/>
    <w:rsid w:val="00ED5F7C"/>
    <w:rsid w:val="00ED7572"/>
    <w:rsid w:val="00EE08F5"/>
    <w:rsid w:val="00EE0B8A"/>
    <w:rsid w:val="00EE18C3"/>
    <w:rsid w:val="00EE1AF6"/>
    <w:rsid w:val="00EE2DF5"/>
    <w:rsid w:val="00EE3D80"/>
    <w:rsid w:val="00EE51CD"/>
    <w:rsid w:val="00EE6672"/>
    <w:rsid w:val="00EE6E00"/>
    <w:rsid w:val="00EE705B"/>
    <w:rsid w:val="00EE7FBC"/>
    <w:rsid w:val="00EF03B1"/>
    <w:rsid w:val="00EF16AC"/>
    <w:rsid w:val="00EF16BC"/>
    <w:rsid w:val="00EF1B8C"/>
    <w:rsid w:val="00EF2DCB"/>
    <w:rsid w:val="00EF3F6E"/>
    <w:rsid w:val="00EF4219"/>
    <w:rsid w:val="00EF45DF"/>
    <w:rsid w:val="00EF46F0"/>
    <w:rsid w:val="00EF52EC"/>
    <w:rsid w:val="00EF54DC"/>
    <w:rsid w:val="00EF61B2"/>
    <w:rsid w:val="00EF6E04"/>
    <w:rsid w:val="00F00BB2"/>
    <w:rsid w:val="00F01181"/>
    <w:rsid w:val="00F021B9"/>
    <w:rsid w:val="00F0250C"/>
    <w:rsid w:val="00F03066"/>
    <w:rsid w:val="00F033E7"/>
    <w:rsid w:val="00F03E75"/>
    <w:rsid w:val="00F048CB"/>
    <w:rsid w:val="00F05143"/>
    <w:rsid w:val="00F0610D"/>
    <w:rsid w:val="00F072D0"/>
    <w:rsid w:val="00F076E9"/>
    <w:rsid w:val="00F07757"/>
    <w:rsid w:val="00F103B3"/>
    <w:rsid w:val="00F106E1"/>
    <w:rsid w:val="00F114A0"/>
    <w:rsid w:val="00F11836"/>
    <w:rsid w:val="00F11FF7"/>
    <w:rsid w:val="00F12774"/>
    <w:rsid w:val="00F12D47"/>
    <w:rsid w:val="00F13CED"/>
    <w:rsid w:val="00F14234"/>
    <w:rsid w:val="00F1450D"/>
    <w:rsid w:val="00F1596D"/>
    <w:rsid w:val="00F1696D"/>
    <w:rsid w:val="00F17DB2"/>
    <w:rsid w:val="00F2077D"/>
    <w:rsid w:val="00F2111E"/>
    <w:rsid w:val="00F2202E"/>
    <w:rsid w:val="00F22460"/>
    <w:rsid w:val="00F22B8F"/>
    <w:rsid w:val="00F22CB2"/>
    <w:rsid w:val="00F22E5A"/>
    <w:rsid w:val="00F23701"/>
    <w:rsid w:val="00F24576"/>
    <w:rsid w:val="00F24CC5"/>
    <w:rsid w:val="00F30780"/>
    <w:rsid w:val="00F30D35"/>
    <w:rsid w:val="00F3119E"/>
    <w:rsid w:val="00F311DC"/>
    <w:rsid w:val="00F31567"/>
    <w:rsid w:val="00F318B4"/>
    <w:rsid w:val="00F339C7"/>
    <w:rsid w:val="00F33F47"/>
    <w:rsid w:val="00F34BBE"/>
    <w:rsid w:val="00F34E33"/>
    <w:rsid w:val="00F357E6"/>
    <w:rsid w:val="00F35F0E"/>
    <w:rsid w:val="00F35F63"/>
    <w:rsid w:val="00F3648F"/>
    <w:rsid w:val="00F405BD"/>
    <w:rsid w:val="00F4163F"/>
    <w:rsid w:val="00F42377"/>
    <w:rsid w:val="00F42633"/>
    <w:rsid w:val="00F436A2"/>
    <w:rsid w:val="00F43904"/>
    <w:rsid w:val="00F4401B"/>
    <w:rsid w:val="00F447EA"/>
    <w:rsid w:val="00F45C3F"/>
    <w:rsid w:val="00F46979"/>
    <w:rsid w:val="00F47B6B"/>
    <w:rsid w:val="00F50084"/>
    <w:rsid w:val="00F50978"/>
    <w:rsid w:val="00F50F91"/>
    <w:rsid w:val="00F51404"/>
    <w:rsid w:val="00F5321E"/>
    <w:rsid w:val="00F555DC"/>
    <w:rsid w:val="00F55DE8"/>
    <w:rsid w:val="00F5656B"/>
    <w:rsid w:val="00F568B0"/>
    <w:rsid w:val="00F57139"/>
    <w:rsid w:val="00F57375"/>
    <w:rsid w:val="00F62C66"/>
    <w:rsid w:val="00F62EB1"/>
    <w:rsid w:val="00F64F58"/>
    <w:rsid w:val="00F6523D"/>
    <w:rsid w:val="00F654EF"/>
    <w:rsid w:val="00F659BB"/>
    <w:rsid w:val="00F661BE"/>
    <w:rsid w:val="00F6623C"/>
    <w:rsid w:val="00F671DC"/>
    <w:rsid w:val="00F67EC0"/>
    <w:rsid w:val="00F70E14"/>
    <w:rsid w:val="00F72736"/>
    <w:rsid w:val="00F72A67"/>
    <w:rsid w:val="00F741A7"/>
    <w:rsid w:val="00F767A2"/>
    <w:rsid w:val="00F7695A"/>
    <w:rsid w:val="00F76C66"/>
    <w:rsid w:val="00F8102F"/>
    <w:rsid w:val="00F8127B"/>
    <w:rsid w:val="00F81E6D"/>
    <w:rsid w:val="00F82C36"/>
    <w:rsid w:val="00F83F4E"/>
    <w:rsid w:val="00F840D0"/>
    <w:rsid w:val="00F8608E"/>
    <w:rsid w:val="00F862A3"/>
    <w:rsid w:val="00F9038F"/>
    <w:rsid w:val="00F90512"/>
    <w:rsid w:val="00F90E76"/>
    <w:rsid w:val="00F91207"/>
    <w:rsid w:val="00F9137C"/>
    <w:rsid w:val="00F91D0C"/>
    <w:rsid w:val="00F937ED"/>
    <w:rsid w:val="00F93FD9"/>
    <w:rsid w:val="00F966EB"/>
    <w:rsid w:val="00FA0AF9"/>
    <w:rsid w:val="00FA1A4C"/>
    <w:rsid w:val="00FA1CF5"/>
    <w:rsid w:val="00FA1F91"/>
    <w:rsid w:val="00FA2F2D"/>
    <w:rsid w:val="00FA31CF"/>
    <w:rsid w:val="00FA3F7E"/>
    <w:rsid w:val="00FA440C"/>
    <w:rsid w:val="00FA48D6"/>
    <w:rsid w:val="00FA5729"/>
    <w:rsid w:val="00FA5A2E"/>
    <w:rsid w:val="00FA6A17"/>
    <w:rsid w:val="00FA6D28"/>
    <w:rsid w:val="00FA7CE8"/>
    <w:rsid w:val="00FB1BB2"/>
    <w:rsid w:val="00FB2A42"/>
    <w:rsid w:val="00FB2E4C"/>
    <w:rsid w:val="00FB3D37"/>
    <w:rsid w:val="00FB50A4"/>
    <w:rsid w:val="00FB5531"/>
    <w:rsid w:val="00FB5CE5"/>
    <w:rsid w:val="00FB6DA2"/>
    <w:rsid w:val="00FB761D"/>
    <w:rsid w:val="00FC00A1"/>
    <w:rsid w:val="00FC03AA"/>
    <w:rsid w:val="00FC0DA0"/>
    <w:rsid w:val="00FC1D0F"/>
    <w:rsid w:val="00FC25B1"/>
    <w:rsid w:val="00FC4B84"/>
    <w:rsid w:val="00FC4D55"/>
    <w:rsid w:val="00FC5437"/>
    <w:rsid w:val="00FC5525"/>
    <w:rsid w:val="00FC5C65"/>
    <w:rsid w:val="00FC5E12"/>
    <w:rsid w:val="00FC62F3"/>
    <w:rsid w:val="00FC6EE1"/>
    <w:rsid w:val="00FC783F"/>
    <w:rsid w:val="00FD3547"/>
    <w:rsid w:val="00FD3718"/>
    <w:rsid w:val="00FD40E0"/>
    <w:rsid w:val="00FD4205"/>
    <w:rsid w:val="00FD459F"/>
    <w:rsid w:val="00FD51B8"/>
    <w:rsid w:val="00FD6475"/>
    <w:rsid w:val="00FE0106"/>
    <w:rsid w:val="00FE0D17"/>
    <w:rsid w:val="00FE151D"/>
    <w:rsid w:val="00FE20C8"/>
    <w:rsid w:val="00FE2C5A"/>
    <w:rsid w:val="00FE2DB4"/>
    <w:rsid w:val="00FE3787"/>
    <w:rsid w:val="00FE3903"/>
    <w:rsid w:val="00FE3C17"/>
    <w:rsid w:val="00FE3E6F"/>
    <w:rsid w:val="00FE4DC9"/>
    <w:rsid w:val="00FE58F6"/>
    <w:rsid w:val="00FE5D35"/>
    <w:rsid w:val="00FE7F8B"/>
    <w:rsid w:val="00FF0A83"/>
    <w:rsid w:val="00FF1221"/>
    <w:rsid w:val="00FF1A4D"/>
    <w:rsid w:val="00FF1ED7"/>
    <w:rsid w:val="00FF235B"/>
    <w:rsid w:val="00FF3696"/>
    <w:rsid w:val="00FF4E47"/>
    <w:rsid w:val="00FF613B"/>
    <w:rsid w:val="00FF6202"/>
    <w:rsid w:val="00FF6E6C"/>
    <w:rsid w:val="00FF6E7A"/>
    <w:rsid w:val="00FF7B94"/>
    <w:rsid w:val="00FF7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878"/>
    <w:pPr>
      <w:tabs>
        <w:tab w:val="center" w:pos="4536"/>
        <w:tab w:val="right" w:pos="9072"/>
      </w:tabs>
      <w:spacing w:before="120"/>
      <w:ind w:firstLine="425"/>
      <w:jc w:val="both"/>
    </w:pPr>
    <w:rPr>
      <w:color w:val="000000"/>
      <w:sz w:val="24"/>
    </w:rPr>
  </w:style>
  <w:style w:type="paragraph" w:styleId="Nagwek1">
    <w:name w:val="heading 1"/>
    <w:basedOn w:val="styl0"/>
    <w:next w:val="styl0"/>
    <w:link w:val="Nagwek1Znak"/>
    <w:qFormat/>
    <w:rsid w:val="00180899"/>
    <w:pPr>
      <w:ind w:left="313" w:hanging="313"/>
      <w:outlineLvl w:val="0"/>
    </w:pPr>
    <w:rPr>
      <w:b/>
      <w:sz w:val="26"/>
    </w:rPr>
  </w:style>
  <w:style w:type="paragraph" w:styleId="Nagwek2">
    <w:name w:val="heading 2"/>
    <w:basedOn w:val="styl0"/>
    <w:next w:val="styl0"/>
    <w:link w:val="Nagwek2Znak"/>
    <w:qFormat/>
    <w:rsid w:val="00180899"/>
    <w:pPr>
      <w:ind w:left="510" w:hanging="510"/>
      <w:outlineLvl w:val="1"/>
    </w:pPr>
    <w:rPr>
      <w:b/>
    </w:rPr>
  </w:style>
  <w:style w:type="paragraph" w:styleId="Nagwek3">
    <w:name w:val="heading 3"/>
    <w:basedOn w:val="Normalny"/>
    <w:next w:val="styl0"/>
    <w:qFormat/>
    <w:rsid w:val="00180899"/>
    <w:pPr>
      <w:ind w:left="737" w:hanging="737"/>
      <w:outlineLvl w:val="2"/>
    </w:pPr>
    <w:rPr>
      <w:b/>
    </w:rPr>
  </w:style>
  <w:style w:type="paragraph" w:styleId="Nagwek4">
    <w:name w:val="heading 4"/>
    <w:basedOn w:val="Normalny"/>
    <w:next w:val="Normalny"/>
    <w:qFormat/>
    <w:rsid w:val="00180899"/>
    <w:pPr>
      <w:keepNext/>
      <w:ind w:firstLine="0"/>
      <w:outlineLvl w:val="3"/>
    </w:pPr>
    <w:rPr>
      <w:b/>
      <w:lang w:val="pt-BR"/>
    </w:rPr>
  </w:style>
  <w:style w:type="paragraph" w:styleId="Nagwek5">
    <w:name w:val="heading 5"/>
    <w:basedOn w:val="Normalny"/>
    <w:next w:val="Normalny"/>
    <w:qFormat/>
    <w:rsid w:val="00180899"/>
    <w:pPr>
      <w:keepNext/>
      <w:ind w:firstLine="0"/>
      <w:jc w:val="left"/>
      <w:outlineLvl w:val="4"/>
    </w:pPr>
    <w:rPr>
      <w:b/>
      <w:color w:val="FF0000"/>
      <w:u w:val="single"/>
    </w:rPr>
  </w:style>
  <w:style w:type="paragraph" w:styleId="Nagwek6">
    <w:name w:val="heading 6"/>
    <w:basedOn w:val="Normalny"/>
    <w:next w:val="Normalny"/>
    <w:qFormat/>
    <w:rsid w:val="00180899"/>
    <w:pPr>
      <w:keepNext/>
      <w:ind w:firstLine="0"/>
      <w:jc w:val="left"/>
      <w:outlineLvl w:val="5"/>
    </w:pPr>
    <w:rPr>
      <w:b/>
      <w:color w:val="auto"/>
    </w:rPr>
  </w:style>
  <w:style w:type="paragraph" w:styleId="Nagwek7">
    <w:name w:val="heading 7"/>
    <w:basedOn w:val="Normalny"/>
    <w:next w:val="Normalny"/>
    <w:qFormat/>
    <w:rsid w:val="00180899"/>
    <w:pPr>
      <w:keepNext/>
      <w:tabs>
        <w:tab w:val="left" w:pos="638"/>
      </w:tabs>
      <w:ind w:left="2056" w:hanging="2056"/>
      <w:outlineLvl w:val="6"/>
    </w:pPr>
    <w:rPr>
      <w:u w:val="single"/>
    </w:rPr>
  </w:style>
  <w:style w:type="paragraph" w:styleId="Nagwek8">
    <w:name w:val="heading 8"/>
    <w:basedOn w:val="Normalny"/>
    <w:next w:val="Normalny"/>
    <w:qFormat/>
    <w:rsid w:val="00180899"/>
    <w:pPr>
      <w:keepNext/>
      <w:ind w:firstLine="0"/>
      <w:outlineLvl w:val="7"/>
    </w:pPr>
    <w:rPr>
      <w:u w:val="single"/>
    </w:rPr>
  </w:style>
  <w:style w:type="paragraph" w:styleId="Nagwek9">
    <w:name w:val="heading 9"/>
    <w:basedOn w:val="Normalny"/>
    <w:next w:val="Normalny"/>
    <w:qFormat/>
    <w:rsid w:val="00180899"/>
    <w:pPr>
      <w:keepNext/>
      <w:ind w:right="-1"/>
      <w:jc w:val="righ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0">
    <w:name w:val="styl0"/>
    <w:basedOn w:val="Normalny"/>
    <w:link w:val="styl0Znak"/>
    <w:rsid w:val="00180899"/>
    <w:pPr>
      <w:spacing w:before="0"/>
      <w:ind w:firstLine="0"/>
    </w:pPr>
    <w:rPr>
      <w:color w:val="auto"/>
    </w:rPr>
  </w:style>
  <w:style w:type="paragraph" w:styleId="Spistreci1">
    <w:name w:val="toc 1"/>
    <w:basedOn w:val="Nagwek1"/>
    <w:next w:val="Nagwek1"/>
    <w:rsid w:val="00180899"/>
    <w:pPr>
      <w:tabs>
        <w:tab w:val="clear" w:pos="4536"/>
        <w:tab w:val="clear" w:pos="9072"/>
        <w:tab w:val="right" w:pos="9071"/>
      </w:tabs>
      <w:spacing w:before="360"/>
      <w:ind w:left="0" w:firstLine="425"/>
      <w:jc w:val="left"/>
      <w:outlineLvl w:val="9"/>
    </w:pPr>
    <w:rPr>
      <w:caps/>
      <w:color w:val="000000"/>
      <w:sz w:val="24"/>
      <w:lang w:val="en-GB"/>
    </w:rPr>
  </w:style>
  <w:style w:type="paragraph" w:customStyle="1" w:styleId="Style1">
    <w:name w:val="Style1"/>
    <w:basedOn w:val="Normalny"/>
    <w:rsid w:val="00180899"/>
    <w:pPr>
      <w:ind w:left="284" w:hanging="284"/>
    </w:pPr>
  </w:style>
  <w:style w:type="paragraph" w:customStyle="1" w:styleId="styl2">
    <w:name w:val="styl2"/>
    <w:basedOn w:val="Normalny"/>
    <w:rsid w:val="00180899"/>
    <w:pPr>
      <w:spacing w:before="0"/>
      <w:ind w:left="340" w:hanging="340"/>
    </w:pPr>
    <w:rPr>
      <w:color w:val="auto"/>
    </w:rPr>
  </w:style>
  <w:style w:type="paragraph" w:customStyle="1" w:styleId="Styl1">
    <w:name w:val="Styl1"/>
    <w:basedOn w:val="Normalny"/>
    <w:rsid w:val="00180899"/>
    <w:pPr>
      <w:spacing w:before="0"/>
      <w:ind w:left="227" w:hanging="227"/>
    </w:pPr>
    <w:rPr>
      <w:color w:val="auto"/>
    </w:rPr>
  </w:style>
  <w:style w:type="paragraph" w:customStyle="1" w:styleId="Styl3">
    <w:name w:val="Styl3"/>
    <w:basedOn w:val="Styl1"/>
    <w:rsid w:val="00180899"/>
    <w:pPr>
      <w:ind w:left="340" w:hanging="113"/>
    </w:pPr>
  </w:style>
  <w:style w:type="paragraph" w:customStyle="1" w:styleId="Styl4">
    <w:name w:val="Styl4"/>
    <w:basedOn w:val="styl2"/>
    <w:rsid w:val="00180899"/>
    <w:pPr>
      <w:ind w:left="453" w:hanging="113"/>
    </w:pPr>
  </w:style>
  <w:style w:type="paragraph" w:styleId="Spistreci2">
    <w:name w:val="toc 2"/>
    <w:basedOn w:val="Nagwek2"/>
    <w:next w:val="Normalny"/>
    <w:semiHidden/>
    <w:rsid w:val="00180899"/>
    <w:pPr>
      <w:tabs>
        <w:tab w:val="clear" w:pos="4536"/>
        <w:tab w:val="clear" w:pos="9072"/>
        <w:tab w:val="right" w:pos="9071"/>
      </w:tabs>
      <w:spacing w:before="240"/>
      <w:ind w:left="240" w:firstLine="425"/>
      <w:jc w:val="left"/>
      <w:outlineLvl w:val="9"/>
    </w:pPr>
    <w:rPr>
      <w:color w:val="000000"/>
      <w:sz w:val="20"/>
      <w:lang w:val="en-GB"/>
    </w:rPr>
  </w:style>
  <w:style w:type="paragraph" w:styleId="Nagwek">
    <w:name w:val="header"/>
    <w:basedOn w:val="Normalny"/>
    <w:link w:val="NagwekZnak"/>
    <w:uiPriority w:val="99"/>
    <w:rsid w:val="00180899"/>
  </w:style>
  <w:style w:type="paragraph" w:styleId="Stopka">
    <w:name w:val="footer"/>
    <w:basedOn w:val="Normalny"/>
    <w:link w:val="StopkaZnak"/>
    <w:uiPriority w:val="99"/>
    <w:rsid w:val="00180899"/>
  </w:style>
  <w:style w:type="character" w:styleId="Numerstrony">
    <w:name w:val="page number"/>
    <w:basedOn w:val="Domylnaczcionkaakapitu"/>
    <w:rsid w:val="00180899"/>
  </w:style>
  <w:style w:type="paragraph" w:customStyle="1" w:styleId="stylT">
    <w:name w:val="stylT"/>
    <w:basedOn w:val="Normalny"/>
    <w:next w:val="stylTN"/>
    <w:rsid w:val="00180899"/>
    <w:pPr>
      <w:keepLines/>
      <w:pageBreakBefore/>
      <w:spacing w:after="120"/>
      <w:ind w:firstLine="0"/>
      <w:jc w:val="center"/>
    </w:pPr>
  </w:style>
  <w:style w:type="paragraph" w:customStyle="1" w:styleId="stylTN">
    <w:name w:val="stylTN"/>
    <w:basedOn w:val="Normalny"/>
    <w:next w:val="styl0"/>
    <w:rsid w:val="00180899"/>
    <w:pPr>
      <w:keepLines/>
      <w:tabs>
        <w:tab w:val="clear" w:pos="9072"/>
      </w:tabs>
      <w:spacing w:before="0" w:after="120"/>
      <w:ind w:firstLine="0"/>
      <w:jc w:val="center"/>
    </w:pPr>
  </w:style>
  <w:style w:type="paragraph" w:customStyle="1" w:styleId="StyleT">
    <w:name w:val="StyleT"/>
    <w:basedOn w:val="styl0"/>
    <w:next w:val="stylTN"/>
    <w:rsid w:val="00180899"/>
    <w:pPr>
      <w:keepLines/>
      <w:tabs>
        <w:tab w:val="clear" w:pos="9072"/>
      </w:tabs>
      <w:spacing w:before="240"/>
      <w:jc w:val="right"/>
    </w:pPr>
  </w:style>
  <w:style w:type="paragraph" w:customStyle="1" w:styleId="StylTcd">
    <w:name w:val="StylTcd"/>
    <w:basedOn w:val="stylT"/>
    <w:next w:val="styl0"/>
    <w:rsid w:val="00180899"/>
    <w:pPr>
      <w:jc w:val="right"/>
    </w:pPr>
  </w:style>
  <w:style w:type="paragraph" w:styleId="Spistreci3">
    <w:name w:val="toc 3"/>
    <w:basedOn w:val="Normalny"/>
    <w:next w:val="Normalny"/>
    <w:semiHidden/>
    <w:rsid w:val="00180899"/>
    <w:pPr>
      <w:tabs>
        <w:tab w:val="clear" w:pos="4536"/>
        <w:tab w:val="clear" w:pos="9072"/>
        <w:tab w:val="right" w:pos="9071"/>
      </w:tabs>
      <w:spacing w:before="0"/>
      <w:ind w:left="480"/>
      <w:jc w:val="left"/>
    </w:pPr>
    <w:rPr>
      <w:sz w:val="20"/>
    </w:rPr>
  </w:style>
  <w:style w:type="paragraph" w:styleId="Spistreci4">
    <w:name w:val="toc 4"/>
    <w:basedOn w:val="Normalny"/>
    <w:next w:val="Normalny"/>
    <w:semiHidden/>
    <w:rsid w:val="00180899"/>
    <w:pPr>
      <w:tabs>
        <w:tab w:val="clear" w:pos="4536"/>
        <w:tab w:val="clear" w:pos="9072"/>
        <w:tab w:val="right" w:pos="9071"/>
      </w:tabs>
      <w:spacing w:before="0"/>
      <w:ind w:left="720"/>
      <w:jc w:val="left"/>
    </w:pPr>
    <w:rPr>
      <w:sz w:val="20"/>
    </w:rPr>
  </w:style>
  <w:style w:type="paragraph" w:styleId="Spistreci5">
    <w:name w:val="toc 5"/>
    <w:basedOn w:val="Normalny"/>
    <w:next w:val="Normalny"/>
    <w:semiHidden/>
    <w:rsid w:val="00180899"/>
    <w:pPr>
      <w:tabs>
        <w:tab w:val="clear" w:pos="4536"/>
        <w:tab w:val="clear" w:pos="9072"/>
        <w:tab w:val="right" w:pos="9071"/>
      </w:tabs>
      <w:spacing w:before="0"/>
      <w:ind w:left="960"/>
      <w:jc w:val="left"/>
    </w:pPr>
    <w:rPr>
      <w:sz w:val="20"/>
    </w:rPr>
  </w:style>
  <w:style w:type="paragraph" w:styleId="Spistreci6">
    <w:name w:val="toc 6"/>
    <w:basedOn w:val="Normalny"/>
    <w:next w:val="Normalny"/>
    <w:semiHidden/>
    <w:rsid w:val="00180899"/>
    <w:pPr>
      <w:tabs>
        <w:tab w:val="clear" w:pos="4536"/>
        <w:tab w:val="clear" w:pos="9072"/>
        <w:tab w:val="right" w:pos="9071"/>
      </w:tabs>
      <w:spacing w:before="0"/>
      <w:ind w:left="1200"/>
      <w:jc w:val="left"/>
    </w:pPr>
    <w:rPr>
      <w:sz w:val="20"/>
    </w:rPr>
  </w:style>
  <w:style w:type="paragraph" w:styleId="Spistreci7">
    <w:name w:val="toc 7"/>
    <w:basedOn w:val="Normalny"/>
    <w:next w:val="Normalny"/>
    <w:semiHidden/>
    <w:rsid w:val="00180899"/>
    <w:pPr>
      <w:tabs>
        <w:tab w:val="clear" w:pos="4536"/>
        <w:tab w:val="clear" w:pos="9072"/>
        <w:tab w:val="right" w:pos="9071"/>
      </w:tabs>
      <w:spacing w:before="0"/>
      <w:ind w:left="1440"/>
      <w:jc w:val="left"/>
    </w:pPr>
    <w:rPr>
      <w:sz w:val="20"/>
    </w:rPr>
  </w:style>
  <w:style w:type="paragraph" w:styleId="Spistreci8">
    <w:name w:val="toc 8"/>
    <w:basedOn w:val="Normalny"/>
    <w:next w:val="Normalny"/>
    <w:semiHidden/>
    <w:rsid w:val="00180899"/>
    <w:pPr>
      <w:tabs>
        <w:tab w:val="clear" w:pos="4536"/>
        <w:tab w:val="clear" w:pos="9072"/>
        <w:tab w:val="right" w:pos="9071"/>
      </w:tabs>
      <w:spacing w:before="0"/>
      <w:ind w:left="1680"/>
      <w:jc w:val="left"/>
    </w:pPr>
    <w:rPr>
      <w:sz w:val="20"/>
    </w:rPr>
  </w:style>
  <w:style w:type="paragraph" w:styleId="Spistreci9">
    <w:name w:val="toc 9"/>
    <w:basedOn w:val="Normalny"/>
    <w:next w:val="Normalny"/>
    <w:semiHidden/>
    <w:rsid w:val="00180899"/>
    <w:pPr>
      <w:tabs>
        <w:tab w:val="clear" w:pos="4536"/>
        <w:tab w:val="clear" w:pos="9072"/>
        <w:tab w:val="right" w:pos="9071"/>
      </w:tabs>
      <w:spacing w:before="0"/>
      <w:ind w:left="1920"/>
      <w:jc w:val="left"/>
    </w:pPr>
    <w:rPr>
      <w:sz w:val="20"/>
    </w:rPr>
  </w:style>
  <w:style w:type="paragraph" w:styleId="Tekstprzypisudolnego">
    <w:name w:val="footnote text"/>
    <w:basedOn w:val="Normalny"/>
    <w:link w:val="TekstprzypisudolnegoZnak"/>
    <w:semiHidden/>
    <w:rsid w:val="00180899"/>
    <w:rPr>
      <w:sz w:val="20"/>
    </w:rPr>
  </w:style>
  <w:style w:type="character" w:styleId="Odwoanieprzypisudolnego">
    <w:name w:val="footnote reference"/>
    <w:basedOn w:val="Domylnaczcionkaakapitu"/>
    <w:semiHidden/>
    <w:rsid w:val="00180899"/>
    <w:rPr>
      <w:vertAlign w:val="superscript"/>
    </w:rPr>
  </w:style>
  <w:style w:type="paragraph" w:styleId="Tekstpodstawowy">
    <w:name w:val="Body Text"/>
    <w:basedOn w:val="Normalny"/>
    <w:link w:val="TekstpodstawowyZnak"/>
    <w:rsid w:val="00180899"/>
    <w:pPr>
      <w:spacing w:line="360" w:lineRule="auto"/>
      <w:ind w:firstLine="0"/>
    </w:pPr>
  </w:style>
  <w:style w:type="character" w:styleId="Hipercze">
    <w:name w:val="Hyperlink"/>
    <w:basedOn w:val="Domylnaczcionkaakapitu"/>
    <w:rsid w:val="00180899"/>
    <w:rPr>
      <w:color w:val="0000FF"/>
      <w:u w:val="single"/>
    </w:rPr>
  </w:style>
  <w:style w:type="character" w:styleId="Odwoaniedokomentarza">
    <w:name w:val="annotation reference"/>
    <w:basedOn w:val="Domylnaczcionkaakapitu"/>
    <w:semiHidden/>
    <w:rsid w:val="00180899"/>
    <w:rPr>
      <w:sz w:val="16"/>
    </w:rPr>
  </w:style>
  <w:style w:type="paragraph" w:styleId="Tekstkomentarza">
    <w:name w:val="annotation text"/>
    <w:basedOn w:val="Normalny"/>
    <w:link w:val="TekstkomentarzaZnak"/>
    <w:semiHidden/>
    <w:rsid w:val="00180899"/>
    <w:rPr>
      <w:sz w:val="20"/>
    </w:rPr>
  </w:style>
  <w:style w:type="paragraph" w:customStyle="1" w:styleId="BodyText24">
    <w:name w:val="Body Text 24"/>
    <w:basedOn w:val="Normalny"/>
    <w:rsid w:val="00180899"/>
    <w:pPr>
      <w:ind w:right="-57" w:firstLine="0"/>
    </w:pPr>
    <w:rPr>
      <w:b/>
    </w:rPr>
  </w:style>
  <w:style w:type="paragraph" w:customStyle="1" w:styleId="Stylwyliczanie">
    <w:name w:val="Styl wyliczanie"/>
    <w:basedOn w:val="Normalny"/>
    <w:link w:val="StylwyliczanieZnak"/>
    <w:rsid w:val="00180899"/>
    <w:pPr>
      <w:tabs>
        <w:tab w:val="left" w:pos="360"/>
      </w:tabs>
      <w:ind w:left="360" w:hanging="360"/>
    </w:pPr>
  </w:style>
  <w:style w:type="paragraph" w:customStyle="1" w:styleId="BodyText23">
    <w:name w:val="Body Text 23"/>
    <w:basedOn w:val="Normalny"/>
    <w:rsid w:val="00180899"/>
    <w:pPr>
      <w:jc w:val="center"/>
    </w:pPr>
    <w:rPr>
      <w:b/>
      <w:sz w:val="36"/>
    </w:rPr>
  </w:style>
  <w:style w:type="paragraph" w:customStyle="1" w:styleId="BodyText31">
    <w:name w:val="Body Text 31"/>
    <w:basedOn w:val="Normalny"/>
    <w:rsid w:val="00180899"/>
    <w:pPr>
      <w:ind w:firstLine="0"/>
    </w:pPr>
    <w:rPr>
      <w:b/>
    </w:rPr>
  </w:style>
  <w:style w:type="paragraph" w:customStyle="1" w:styleId="BodyTextIndent22">
    <w:name w:val="Body Text Indent 22"/>
    <w:basedOn w:val="Normalny"/>
    <w:rsid w:val="00180899"/>
  </w:style>
  <w:style w:type="paragraph" w:styleId="Tytu">
    <w:name w:val="Title"/>
    <w:basedOn w:val="Normalny"/>
    <w:qFormat/>
    <w:rsid w:val="00180899"/>
    <w:pPr>
      <w:ind w:firstLine="0"/>
      <w:jc w:val="center"/>
    </w:pPr>
    <w:rPr>
      <w:b/>
      <w:color w:val="0000FF"/>
      <w:sz w:val="28"/>
    </w:rPr>
  </w:style>
  <w:style w:type="paragraph" w:customStyle="1" w:styleId="BodyText21">
    <w:name w:val="Body Text 21"/>
    <w:basedOn w:val="Normalny"/>
    <w:rsid w:val="00180899"/>
    <w:pPr>
      <w:tabs>
        <w:tab w:val="clear" w:pos="4536"/>
        <w:tab w:val="clear" w:pos="9072"/>
      </w:tabs>
      <w:spacing w:before="0"/>
      <w:ind w:firstLine="0"/>
      <w:jc w:val="left"/>
    </w:pPr>
    <w:rPr>
      <w:color w:val="auto"/>
    </w:rPr>
  </w:style>
  <w:style w:type="paragraph" w:customStyle="1" w:styleId="BodyText22">
    <w:name w:val="Body Text 22"/>
    <w:basedOn w:val="Normalny"/>
    <w:rsid w:val="00180899"/>
    <w:pPr>
      <w:tabs>
        <w:tab w:val="clear" w:pos="4536"/>
        <w:tab w:val="clear" w:pos="9072"/>
      </w:tabs>
      <w:spacing w:before="0"/>
      <w:ind w:left="284" w:hanging="284"/>
      <w:jc w:val="left"/>
    </w:pPr>
    <w:rPr>
      <w:color w:val="auto"/>
    </w:rPr>
  </w:style>
  <w:style w:type="paragraph" w:customStyle="1" w:styleId="BodyTextIndent21">
    <w:name w:val="Body Text Indent 21"/>
    <w:basedOn w:val="Normalny"/>
    <w:rsid w:val="00180899"/>
    <w:pPr>
      <w:tabs>
        <w:tab w:val="clear" w:pos="4536"/>
        <w:tab w:val="clear" w:pos="9072"/>
        <w:tab w:val="left" w:pos="567"/>
      </w:tabs>
      <w:spacing w:before="0"/>
      <w:ind w:left="567" w:hanging="283"/>
    </w:pPr>
    <w:rPr>
      <w:color w:val="auto"/>
    </w:rPr>
  </w:style>
  <w:style w:type="paragraph" w:customStyle="1" w:styleId="BodyTextIndent31">
    <w:name w:val="Body Text Indent 31"/>
    <w:basedOn w:val="Normalny"/>
    <w:rsid w:val="00180899"/>
    <w:pPr>
      <w:tabs>
        <w:tab w:val="clear" w:pos="4536"/>
        <w:tab w:val="clear" w:pos="9072"/>
      </w:tabs>
      <w:spacing w:before="0"/>
      <w:ind w:left="426" w:firstLine="0"/>
    </w:pPr>
    <w:rPr>
      <w:color w:val="auto"/>
    </w:rPr>
  </w:style>
  <w:style w:type="paragraph" w:styleId="Tekstpodstawowy2">
    <w:name w:val="Body Text 2"/>
    <w:basedOn w:val="Normalny"/>
    <w:rsid w:val="00180899"/>
    <w:pPr>
      <w:tabs>
        <w:tab w:val="clear" w:pos="4536"/>
        <w:tab w:val="clear" w:pos="9072"/>
      </w:tabs>
      <w:spacing w:before="0"/>
      <w:ind w:firstLine="0"/>
      <w:jc w:val="left"/>
    </w:pPr>
    <w:rPr>
      <w:b/>
      <w:color w:val="FF0000"/>
    </w:rPr>
  </w:style>
  <w:style w:type="paragraph" w:styleId="Tekstpodstawowy3">
    <w:name w:val="Body Text 3"/>
    <w:basedOn w:val="Normalny"/>
    <w:rsid w:val="00180899"/>
    <w:pPr>
      <w:ind w:firstLine="0"/>
    </w:pPr>
    <w:rPr>
      <w:b/>
    </w:rPr>
  </w:style>
  <w:style w:type="paragraph" w:customStyle="1" w:styleId="Stylakapit">
    <w:name w:val="Styl akapit"/>
    <w:basedOn w:val="Normalny"/>
    <w:rsid w:val="00180899"/>
  </w:style>
  <w:style w:type="paragraph" w:customStyle="1" w:styleId="Akapit">
    <w:name w:val="Akapit"/>
    <w:basedOn w:val="Normalny"/>
    <w:rsid w:val="00180899"/>
  </w:style>
  <w:style w:type="paragraph" w:styleId="Tekstblokowy">
    <w:name w:val="Block Text"/>
    <w:basedOn w:val="Normalny"/>
    <w:rsid w:val="00180899"/>
    <w:pPr>
      <w:tabs>
        <w:tab w:val="clear" w:pos="9072"/>
        <w:tab w:val="right" w:pos="8505"/>
      </w:tabs>
      <w:ind w:left="2552" w:right="565" w:hanging="2552"/>
    </w:pPr>
    <w:rPr>
      <w:b/>
    </w:rPr>
  </w:style>
  <w:style w:type="paragraph" w:customStyle="1" w:styleId="Stylwyliczanie1">
    <w:name w:val="Styl wyliczanie1"/>
    <w:basedOn w:val="Normalny"/>
    <w:next w:val="Stylakapit"/>
    <w:rsid w:val="00180899"/>
    <w:pPr>
      <w:ind w:firstLine="0"/>
    </w:pPr>
  </w:style>
  <w:style w:type="paragraph" w:styleId="Tekstpodstawowywcity">
    <w:name w:val="Body Text Indent"/>
    <w:basedOn w:val="Normalny"/>
    <w:rsid w:val="00180899"/>
    <w:pPr>
      <w:tabs>
        <w:tab w:val="clear" w:pos="4536"/>
        <w:tab w:val="clear" w:pos="9072"/>
        <w:tab w:val="left" w:pos="1370"/>
      </w:tabs>
      <w:ind w:left="164" w:hanging="164"/>
    </w:pPr>
    <w:rPr>
      <w:color w:val="FF0000"/>
    </w:rPr>
  </w:style>
  <w:style w:type="paragraph" w:styleId="Tekstpodstawowywcity2">
    <w:name w:val="Body Text Indent 2"/>
    <w:basedOn w:val="Normalny"/>
    <w:rsid w:val="00180899"/>
    <w:pPr>
      <w:tabs>
        <w:tab w:val="clear" w:pos="4536"/>
        <w:tab w:val="clear" w:pos="9072"/>
      </w:tabs>
      <w:ind w:firstLine="71"/>
    </w:pPr>
    <w:rPr>
      <w:color w:val="auto"/>
    </w:rPr>
  </w:style>
  <w:style w:type="paragraph" w:styleId="Tekstpodstawowywcity3">
    <w:name w:val="Body Text Indent 3"/>
    <w:basedOn w:val="Normalny"/>
    <w:rsid w:val="00180899"/>
    <w:pPr>
      <w:spacing w:before="0"/>
      <w:jc w:val="center"/>
    </w:pPr>
    <w:rPr>
      <w:bCs/>
    </w:rPr>
  </w:style>
  <w:style w:type="paragraph" w:styleId="Tekstdymka">
    <w:name w:val="Balloon Text"/>
    <w:basedOn w:val="Normalny"/>
    <w:semiHidden/>
    <w:rsid w:val="000662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0A0EBA"/>
    <w:rPr>
      <w:b/>
      <w:bCs/>
    </w:rPr>
  </w:style>
  <w:style w:type="table" w:styleId="Tabela-Siatka">
    <w:name w:val="Table Grid"/>
    <w:basedOn w:val="Standardowy"/>
    <w:rsid w:val="00F2202E"/>
    <w:pPr>
      <w:tabs>
        <w:tab w:val="center" w:pos="4536"/>
        <w:tab w:val="right" w:pos="9072"/>
      </w:tabs>
      <w:spacing w:before="120"/>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prosty">
    <w:name w:val="Stanprosty"/>
    <w:basedOn w:val="Normalny"/>
    <w:rsid w:val="00922529"/>
    <w:pPr>
      <w:tabs>
        <w:tab w:val="clear" w:pos="4536"/>
        <w:tab w:val="clear" w:pos="9072"/>
        <w:tab w:val="left" w:pos="357"/>
      </w:tabs>
      <w:spacing w:before="0" w:line="360" w:lineRule="auto"/>
      <w:ind w:firstLine="0"/>
    </w:pPr>
    <w:rPr>
      <w:color w:val="auto"/>
    </w:rPr>
  </w:style>
  <w:style w:type="paragraph" w:customStyle="1" w:styleId="pkt">
    <w:name w:val="pkt"/>
    <w:basedOn w:val="Normalny"/>
    <w:rsid w:val="005A784A"/>
    <w:pPr>
      <w:tabs>
        <w:tab w:val="clear" w:pos="4536"/>
        <w:tab w:val="clear" w:pos="9072"/>
      </w:tabs>
      <w:spacing w:before="0" w:after="80"/>
      <w:ind w:left="851" w:hanging="284"/>
    </w:pPr>
    <w:rPr>
      <w:color w:val="auto"/>
      <w:szCs w:val="24"/>
    </w:rPr>
  </w:style>
  <w:style w:type="paragraph" w:customStyle="1" w:styleId="ust">
    <w:name w:val="ust"/>
    <w:basedOn w:val="Normalny"/>
    <w:rsid w:val="00FC03AA"/>
    <w:pPr>
      <w:tabs>
        <w:tab w:val="clear" w:pos="4536"/>
        <w:tab w:val="clear" w:pos="9072"/>
      </w:tabs>
      <w:spacing w:before="0" w:after="80"/>
      <w:ind w:left="431" w:hanging="255"/>
    </w:pPr>
    <w:rPr>
      <w:color w:val="auto"/>
      <w:szCs w:val="24"/>
    </w:rPr>
  </w:style>
  <w:style w:type="paragraph" w:customStyle="1" w:styleId="lit">
    <w:name w:val="lit"/>
    <w:basedOn w:val="Normalny"/>
    <w:rsid w:val="00FC03AA"/>
    <w:pPr>
      <w:tabs>
        <w:tab w:val="clear" w:pos="4536"/>
        <w:tab w:val="clear" w:pos="9072"/>
      </w:tabs>
      <w:spacing w:before="0" w:after="80"/>
      <w:ind w:left="1247" w:hanging="255"/>
    </w:pPr>
    <w:rPr>
      <w:color w:val="auto"/>
      <w:szCs w:val="24"/>
    </w:rPr>
  </w:style>
  <w:style w:type="character" w:customStyle="1" w:styleId="stylwiadomociemail15">
    <w:name w:val="stylwiadomociemail15"/>
    <w:basedOn w:val="Domylnaczcionkaakapitu"/>
    <w:rsid w:val="004154CE"/>
  </w:style>
  <w:style w:type="paragraph" w:customStyle="1" w:styleId="Default">
    <w:name w:val="Default"/>
    <w:rsid w:val="00606A9A"/>
    <w:pPr>
      <w:autoSpaceDE w:val="0"/>
      <w:autoSpaceDN w:val="0"/>
      <w:adjustRightInd w:val="0"/>
    </w:pPr>
    <w:rPr>
      <w:color w:val="000000"/>
      <w:sz w:val="24"/>
      <w:szCs w:val="24"/>
    </w:rPr>
  </w:style>
  <w:style w:type="paragraph" w:customStyle="1" w:styleId="Tekstprzypisu">
    <w:name w:val="Tekst przypisu"/>
    <w:basedOn w:val="Default"/>
    <w:next w:val="Default"/>
    <w:rsid w:val="00606A9A"/>
    <w:pPr>
      <w:spacing w:before="60" w:after="60"/>
    </w:pPr>
    <w:rPr>
      <w:color w:val="auto"/>
    </w:rPr>
  </w:style>
  <w:style w:type="paragraph" w:styleId="Akapitzlist">
    <w:name w:val="List Paragraph"/>
    <w:basedOn w:val="Normalny"/>
    <w:uiPriority w:val="34"/>
    <w:qFormat/>
    <w:rsid w:val="00C00058"/>
    <w:pPr>
      <w:ind w:left="720"/>
      <w:contextualSpacing/>
    </w:pPr>
  </w:style>
  <w:style w:type="character" w:styleId="UyteHipercze">
    <w:name w:val="FollowedHyperlink"/>
    <w:basedOn w:val="Domylnaczcionkaakapitu"/>
    <w:uiPriority w:val="99"/>
    <w:unhideWhenUsed/>
    <w:rsid w:val="00C00058"/>
    <w:rPr>
      <w:color w:val="800080"/>
      <w:u w:val="single"/>
    </w:rPr>
  </w:style>
  <w:style w:type="paragraph" w:customStyle="1" w:styleId="xl63">
    <w:name w:val="xl63"/>
    <w:basedOn w:val="Normalny"/>
    <w:rsid w:val="00C00058"/>
    <w:pPr>
      <w:pBdr>
        <w:top w:val="single" w:sz="8" w:space="0" w:color="auto"/>
        <w:left w:val="single" w:sz="8" w:space="0" w:color="auto"/>
        <w:right w:val="single" w:sz="8"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64">
    <w:name w:val="xl64"/>
    <w:basedOn w:val="Normalny"/>
    <w:rsid w:val="00C00058"/>
    <w:pPr>
      <w:pBdr>
        <w:top w:val="single" w:sz="8"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65">
    <w:name w:val="xl65"/>
    <w:basedOn w:val="Normalny"/>
    <w:rsid w:val="00C00058"/>
    <w:pPr>
      <w:pBdr>
        <w:top w:val="single" w:sz="8" w:space="0" w:color="auto"/>
        <w:left w:val="single" w:sz="8"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66">
    <w:name w:val="xl66"/>
    <w:basedOn w:val="Normalny"/>
    <w:rsid w:val="00C00058"/>
    <w:pPr>
      <w:pBdr>
        <w:top w:val="single" w:sz="8" w:space="0" w:color="auto"/>
        <w:right w:val="single" w:sz="8"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67">
    <w:name w:val="xl67"/>
    <w:basedOn w:val="Normalny"/>
    <w:rsid w:val="00C00058"/>
    <w:pPr>
      <w:pBdr>
        <w:left w:val="single" w:sz="8" w:space="0" w:color="auto"/>
        <w:bottom w:val="single" w:sz="8" w:space="0" w:color="auto"/>
        <w:right w:val="single" w:sz="8" w:space="0" w:color="auto"/>
      </w:pBdr>
      <w:shd w:val="clear" w:color="000000" w:fill="C0C0C0"/>
      <w:tabs>
        <w:tab w:val="clear" w:pos="4536"/>
        <w:tab w:val="clear" w:pos="9072"/>
      </w:tabs>
      <w:spacing w:before="100" w:beforeAutospacing="1" w:after="100" w:afterAutospacing="1"/>
      <w:ind w:firstLine="0"/>
      <w:jc w:val="left"/>
    </w:pPr>
    <w:rPr>
      <w:color w:val="auto"/>
      <w:szCs w:val="24"/>
    </w:rPr>
  </w:style>
  <w:style w:type="paragraph" w:customStyle="1" w:styleId="xl68">
    <w:name w:val="xl68"/>
    <w:basedOn w:val="Normalny"/>
    <w:rsid w:val="00C00058"/>
    <w:pPr>
      <w:pBdr>
        <w:top w:val="single" w:sz="4" w:space="0" w:color="auto"/>
        <w:left w:val="single" w:sz="4" w:space="0" w:color="auto"/>
        <w:bottom w:val="single" w:sz="8" w:space="0" w:color="auto"/>
        <w:right w:val="single" w:sz="4"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69">
    <w:name w:val="xl69"/>
    <w:basedOn w:val="Normalny"/>
    <w:rsid w:val="00C00058"/>
    <w:pPr>
      <w:pBdr>
        <w:top w:val="single" w:sz="4" w:space="0" w:color="auto"/>
        <w:left w:val="single" w:sz="8" w:space="0" w:color="auto"/>
        <w:bottom w:val="single" w:sz="8" w:space="0" w:color="auto"/>
        <w:right w:val="single" w:sz="4"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70">
    <w:name w:val="xl70"/>
    <w:basedOn w:val="Normalny"/>
    <w:rsid w:val="00C00058"/>
    <w:pPr>
      <w:pBdr>
        <w:top w:val="single" w:sz="4" w:space="0" w:color="auto"/>
        <w:left w:val="single" w:sz="4" w:space="0" w:color="auto"/>
        <w:bottom w:val="single" w:sz="8" w:space="0" w:color="auto"/>
        <w:right w:val="single" w:sz="8" w:space="0" w:color="auto"/>
      </w:pBdr>
      <w:shd w:val="clear" w:color="000000" w:fill="C0C0C0"/>
      <w:tabs>
        <w:tab w:val="clear" w:pos="4536"/>
        <w:tab w:val="clear" w:pos="9072"/>
      </w:tabs>
      <w:spacing w:before="100" w:beforeAutospacing="1" w:after="100" w:afterAutospacing="1"/>
      <w:ind w:firstLine="0"/>
      <w:jc w:val="center"/>
    </w:pPr>
    <w:rPr>
      <w:color w:val="auto"/>
      <w:szCs w:val="24"/>
    </w:rPr>
  </w:style>
  <w:style w:type="paragraph" w:customStyle="1" w:styleId="xl71">
    <w:name w:val="xl71"/>
    <w:basedOn w:val="Normalny"/>
    <w:rsid w:val="00C00058"/>
    <w:pPr>
      <w:pBdr>
        <w:top w:val="single" w:sz="8" w:space="0" w:color="auto"/>
        <w:left w:val="single" w:sz="4" w:space="0" w:color="auto"/>
        <w:bottom w:val="single" w:sz="4"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2">
    <w:name w:val="xl72"/>
    <w:basedOn w:val="Normalny"/>
    <w:rsid w:val="00C00058"/>
    <w:pPr>
      <w:pBdr>
        <w:top w:val="single" w:sz="8" w:space="0" w:color="auto"/>
        <w:left w:val="single" w:sz="4" w:space="0" w:color="auto"/>
        <w:bottom w:val="single" w:sz="4"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3">
    <w:name w:val="xl73"/>
    <w:basedOn w:val="Normalny"/>
    <w:rsid w:val="00C00058"/>
    <w:pPr>
      <w:pBdr>
        <w:top w:val="single" w:sz="4" w:space="0" w:color="auto"/>
        <w:left w:val="single" w:sz="4" w:space="0" w:color="auto"/>
        <w:bottom w:val="single" w:sz="4"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4">
    <w:name w:val="xl74"/>
    <w:basedOn w:val="Normalny"/>
    <w:rsid w:val="00C00058"/>
    <w:pPr>
      <w:pBdr>
        <w:top w:val="single" w:sz="4" w:space="0" w:color="auto"/>
        <w:left w:val="single" w:sz="4" w:space="0" w:color="auto"/>
        <w:bottom w:val="single" w:sz="4"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5">
    <w:name w:val="xl75"/>
    <w:basedOn w:val="Normalny"/>
    <w:rsid w:val="00C00058"/>
    <w:pPr>
      <w:pBdr>
        <w:top w:val="single" w:sz="4" w:space="0" w:color="auto"/>
        <w:left w:val="single" w:sz="4" w:space="0" w:color="auto"/>
        <w:bottom w:val="single" w:sz="8"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6">
    <w:name w:val="xl76"/>
    <w:basedOn w:val="Normalny"/>
    <w:rsid w:val="00C00058"/>
    <w:pPr>
      <w:pBdr>
        <w:top w:val="single" w:sz="4" w:space="0" w:color="auto"/>
        <w:left w:val="single" w:sz="4" w:space="0" w:color="auto"/>
        <w:bottom w:val="single" w:sz="8"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7">
    <w:name w:val="xl77"/>
    <w:basedOn w:val="Normalny"/>
    <w:rsid w:val="00C00058"/>
    <w:pPr>
      <w:pBdr>
        <w:top w:val="single" w:sz="8" w:space="0" w:color="auto"/>
        <w:left w:val="single" w:sz="8" w:space="0" w:color="auto"/>
        <w:bottom w:val="single" w:sz="4"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8">
    <w:name w:val="xl78"/>
    <w:basedOn w:val="Normalny"/>
    <w:rsid w:val="00C00058"/>
    <w:pPr>
      <w:pBdr>
        <w:top w:val="single" w:sz="4" w:space="0" w:color="auto"/>
        <w:left w:val="single" w:sz="8" w:space="0" w:color="auto"/>
        <w:bottom w:val="single" w:sz="4"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79">
    <w:name w:val="xl79"/>
    <w:basedOn w:val="Normalny"/>
    <w:rsid w:val="00C00058"/>
    <w:pPr>
      <w:pBdr>
        <w:top w:val="single" w:sz="4" w:space="0" w:color="auto"/>
        <w:left w:val="single" w:sz="8" w:space="0" w:color="auto"/>
        <w:bottom w:val="single" w:sz="8" w:space="0" w:color="auto"/>
        <w:right w:val="single" w:sz="4"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80">
    <w:name w:val="xl80"/>
    <w:basedOn w:val="Normalny"/>
    <w:rsid w:val="00C00058"/>
    <w:pPr>
      <w:pBdr>
        <w:top w:val="single" w:sz="8" w:space="0" w:color="auto"/>
        <w:left w:val="single" w:sz="8" w:space="0" w:color="auto"/>
        <w:bottom w:val="single" w:sz="4"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81">
    <w:name w:val="xl81"/>
    <w:basedOn w:val="Normalny"/>
    <w:rsid w:val="00C00058"/>
    <w:pPr>
      <w:pBdr>
        <w:top w:val="single" w:sz="4" w:space="0" w:color="auto"/>
        <w:left w:val="single" w:sz="8" w:space="0" w:color="auto"/>
        <w:bottom w:val="single" w:sz="4"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82">
    <w:name w:val="xl82"/>
    <w:basedOn w:val="Normalny"/>
    <w:rsid w:val="00C00058"/>
    <w:pPr>
      <w:pBdr>
        <w:top w:val="single" w:sz="4" w:space="0" w:color="auto"/>
        <w:left w:val="single" w:sz="8" w:space="0" w:color="auto"/>
        <w:bottom w:val="single" w:sz="8"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character" w:customStyle="1" w:styleId="Nagwek1Znak">
    <w:name w:val="Nagłówek 1 Znak"/>
    <w:basedOn w:val="Domylnaczcionkaakapitu"/>
    <w:link w:val="Nagwek1"/>
    <w:rsid w:val="00C00058"/>
    <w:rPr>
      <w:b/>
      <w:sz w:val="26"/>
    </w:rPr>
  </w:style>
  <w:style w:type="paragraph" w:styleId="Bezodstpw">
    <w:name w:val="No Spacing"/>
    <w:uiPriority w:val="1"/>
    <w:qFormat/>
    <w:rsid w:val="00C00058"/>
    <w:pPr>
      <w:tabs>
        <w:tab w:val="center" w:pos="4536"/>
        <w:tab w:val="right" w:pos="9072"/>
      </w:tabs>
      <w:ind w:firstLine="425"/>
      <w:jc w:val="both"/>
    </w:pPr>
    <w:rPr>
      <w:color w:val="000000"/>
      <w:sz w:val="24"/>
    </w:rPr>
  </w:style>
  <w:style w:type="paragraph" w:customStyle="1" w:styleId="xl83">
    <w:name w:val="xl83"/>
    <w:basedOn w:val="Normalny"/>
    <w:rsid w:val="00C00058"/>
    <w:pPr>
      <w:pBdr>
        <w:top w:val="single" w:sz="4" w:space="0" w:color="auto"/>
        <w:left w:val="single" w:sz="8" w:space="0" w:color="auto"/>
        <w:bottom w:val="single" w:sz="4"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xl84">
    <w:name w:val="xl84"/>
    <w:basedOn w:val="Normalny"/>
    <w:rsid w:val="00C00058"/>
    <w:pPr>
      <w:pBdr>
        <w:top w:val="single" w:sz="4" w:space="0" w:color="auto"/>
        <w:left w:val="single" w:sz="8" w:space="0" w:color="auto"/>
        <w:bottom w:val="single" w:sz="8" w:space="0" w:color="auto"/>
        <w:right w:val="single" w:sz="8" w:space="0" w:color="auto"/>
      </w:pBdr>
      <w:tabs>
        <w:tab w:val="clear" w:pos="4536"/>
        <w:tab w:val="clear" w:pos="9072"/>
      </w:tabs>
      <w:spacing w:before="100" w:beforeAutospacing="1" w:after="100" w:afterAutospacing="1"/>
      <w:ind w:firstLine="0"/>
      <w:jc w:val="left"/>
    </w:pPr>
    <w:rPr>
      <w:color w:val="auto"/>
      <w:szCs w:val="24"/>
    </w:rPr>
  </w:style>
  <w:style w:type="paragraph" w:customStyle="1" w:styleId="CM24">
    <w:name w:val="CM24"/>
    <w:basedOn w:val="Default"/>
    <w:next w:val="Default"/>
    <w:rsid w:val="009F73D5"/>
    <w:pPr>
      <w:widowControl w:val="0"/>
      <w:spacing w:after="208"/>
    </w:pPr>
    <w:rPr>
      <w:rFonts w:ascii="Times" w:hAnsi="Times" w:cs="Times"/>
      <w:color w:val="auto"/>
    </w:rPr>
  </w:style>
  <w:style w:type="paragraph" w:customStyle="1" w:styleId="CM23">
    <w:name w:val="CM23"/>
    <w:basedOn w:val="Default"/>
    <w:next w:val="Default"/>
    <w:rsid w:val="009F73D5"/>
    <w:pPr>
      <w:widowControl w:val="0"/>
      <w:spacing w:after="98"/>
    </w:pPr>
    <w:rPr>
      <w:rFonts w:ascii="Times" w:hAnsi="Times" w:cs="Times"/>
      <w:color w:val="auto"/>
    </w:rPr>
  </w:style>
  <w:style w:type="paragraph" w:customStyle="1" w:styleId="CM4">
    <w:name w:val="CM4"/>
    <w:basedOn w:val="Default"/>
    <w:next w:val="Default"/>
    <w:rsid w:val="009F73D5"/>
    <w:pPr>
      <w:widowControl w:val="0"/>
      <w:spacing w:line="200" w:lineRule="atLeast"/>
    </w:pPr>
    <w:rPr>
      <w:rFonts w:ascii="Times" w:hAnsi="Times" w:cs="Times"/>
      <w:color w:val="auto"/>
    </w:rPr>
  </w:style>
  <w:style w:type="paragraph" w:customStyle="1" w:styleId="CM6">
    <w:name w:val="CM6"/>
    <w:basedOn w:val="Default"/>
    <w:next w:val="Default"/>
    <w:rsid w:val="009F73D5"/>
    <w:pPr>
      <w:widowControl w:val="0"/>
      <w:spacing w:line="200" w:lineRule="atLeast"/>
    </w:pPr>
    <w:rPr>
      <w:rFonts w:ascii="Times" w:hAnsi="Times" w:cs="Times"/>
      <w:color w:val="auto"/>
    </w:rPr>
  </w:style>
  <w:style w:type="paragraph" w:customStyle="1" w:styleId="CM25">
    <w:name w:val="CM25"/>
    <w:basedOn w:val="Default"/>
    <w:next w:val="Default"/>
    <w:rsid w:val="009F73D5"/>
    <w:pPr>
      <w:widowControl w:val="0"/>
      <w:spacing w:after="120"/>
    </w:pPr>
    <w:rPr>
      <w:rFonts w:ascii="Times" w:hAnsi="Times" w:cs="Times"/>
      <w:color w:val="auto"/>
    </w:rPr>
  </w:style>
  <w:style w:type="paragraph" w:styleId="Legenda">
    <w:name w:val="caption"/>
    <w:basedOn w:val="Normalny"/>
    <w:next w:val="Normalny"/>
    <w:qFormat/>
    <w:rsid w:val="004A614F"/>
    <w:pPr>
      <w:tabs>
        <w:tab w:val="clear" w:pos="4536"/>
        <w:tab w:val="clear" w:pos="9072"/>
      </w:tabs>
      <w:spacing w:before="0" w:after="60"/>
      <w:ind w:firstLine="0"/>
      <w:jc w:val="left"/>
    </w:pPr>
    <w:rPr>
      <w:rFonts w:ascii="Arial" w:hAnsi="Arial"/>
      <w:b/>
      <w:i/>
      <w:color w:val="auto"/>
      <w:sz w:val="16"/>
      <w:szCs w:val="24"/>
    </w:rPr>
  </w:style>
  <w:style w:type="character" w:customStyle="1" w:styleId="StylwyliczanieZnak">
    <w:name w:val="Styl wyliczanie Znak"/>
    <w:basedOn w:val="Domylnaczcionkaakapitu"/>
    <w:link w:val="Stylwyliczanie"/>
    <w:rsid w:val="00FA48D6"/>
    <w:rPr>
      <w:color w:val="000000"/>
      <w:sz w:val="24"/>
      <w:lang w:val="pl-PL" w:eastAsia="pl-PL" w:bidi="ar-SA"/>
    </w:rPr>
  </w:style>
  <w:style w:type="character" w:customStyle="1" w:styleId="styl0Znak">
    <w:name w:val="styl0 Znak"/>
    <w:basedOn w:val="Domylnaczcionkaakapitu"/>
    <w:link w:val="styl0"/>
    <w:rsid w:val="00A82B6D"/>
    <w:rPr>
      <w:sz w:val="24"/>
      <w:lang w:val="pl-PL" w:eastAsia="pl-PL" w:bidi="ar-SA"/>
    </w:rPr>
  </w:style>
  <w:style w:type="character" w:customStyle="1" w:styleId="Nagwek2Znak">
    <w:name w:val="Nagłówek 2 Znak"/>
    <w:basedOn w:val="styl0Znak"/>
    <w:link w:val="Nagwek2"/>
    <w:rsid w:val="00010C25"/>
    <w:rPr>
      <w:b/>
      <w:sz w:val="24"/>
      <w:lang w:val="pl-PL" w:eastAsia="pl-PL" w:bidi="ar-SA"/>
    </w:rPr>
  </w:style>
  <w:style w:type="paragraph" w:customStyle="1" w:styleId="NormalnyAutomatyczny">
    <w:name w:val="Normalny + Automatyczny"/>
    <w:basedOn w:val="Nagwek2"/>
    <w:uiPriority w:val="99"/>
    <w:rsid w:val="009E5AEB"/>
    <w:pPr>
      <w:spacing w:before="120"/>
      <w:ind w:left="0" w:firstLine="0"/>
    </w:pPr>
    <w:rPr>
      <w:b w:val="0"/>
      <w:szCs w:val="24"/>
    </w:rPr>
  </w:style>
  <w:style w:type="character" w:customStyle="1" w:styleId="TekstkomentarzaZnak">
    <w:name w:val="Tekst komentarza Znak"/>
    <w:basedOn w:val="Domylnaczcionkaakapitu"/>
    <w:link w:val="Tekstkomentarza"/>
    <w:uiPriority w:val="99"/>
    <w:semiHidden/>
    <w:rsid w:val="00BC0CF2"/>
    <w:rPr>
      <w:color w:val="000000"/>
    </w:rPr>
  </w:style>
  <w:style w:type="paragraph" w:customStyle="1" w:styleId="Tekstpostawowy">
    <w:name w:val="Tekst postawowy"/>
    <w:basedOn w:val="Normalny"/>
    <w:link w:val="TekstpostawowyZnak"/>
    <w:rsid w:val="00BC0CF2"/>
    <w:pPr>
      <w:tabs>
        <w:tab w:val="clear" w:pos="4536"/>
        <w:tab w:val="clear" w:pos="9072"/>
      </w:tabs>
      <w:autoSpaceDE w:val="0"/>
      <w:autoSpaceDN w:val="0"/>
      <w:adjustRightInd w:val="0"/>
      <w:spacing w:before="0"/>
      <w:ind w:left="1080" w:firstLine="0"/>
    </w:pPr>
    <w:rPr>
      <w:szCs w:val="24"/>
    </w:rPr>
  </w:style>
  <w:style w:type="paragraph" w:customStyle="1" w:styleId="Wylicza">
    <w:name w:val="Wylicz a"/>
    <w:basedOn w:val="Normalny"/>
    <w:autoRedefine/>
    <w:rsid w:val="00BC0CF2"/>
    <w:pPr>
      <w:tabs>
        <w:tab w:val="clear" w:pos="4536"/>
        <w:tab w:val="clear" w:pos="9072"/>
      </w:tabs>
      <w:autoSpaceDE w:val="0"/>
      <w:autoSpaceDN w:val="0"/>
      <w:adjustRightInd w:val="0"/>
      <w:spacing w:before="0"/>
      <w:ind w:left="1474" w:firstLine="0"/>
      <w:jc w:val="left"/>
    </w:pPr>
    <w:rPr>
      <w:szCs w:val="24"/>
    </w:rPr>
  </w:style>
  <w:style w:type="character" w:customStyle="1" w:styleId="TekstpostawowyZnak">
    <w:name w:val="Tekst postawowy Znak"/>
    <w:basedOn w:val="Domylnaczcionkaakapitu"/>
    <w:link w:val="Tekstpostawowy"/>
    <w:rsid w:val="00BC0CF2"/>
    <w:rPr>
      <w:color w:val="000000"/>
      <w:sz w:val="24"/>
      <w:szCs w:val="24"/>
    </w:rPr>
  </w:style>
  <w:style w:type="paragraph" w:customStyle="1" w:styleId="StylAutomatycznyPierwszywiersz0cm">
    <w:name w:val="Styl Automatyczny Pierwszy wiersz:  0 cm"/>
    <w:basedOn w:val="Normalny"/>
    <w:autoRedefine/>
    <w:rsid w:val="00BC0CF2"/>
    <w:pPr>
      <w:spacing w:before="60"/>
      <w:ind w:firstLine="0"/>
    </w:pPr>
    <w:rPr>
      <w:color w:val="auto"/>
    </w:rPr>
  </w:style>
  <w:style w:type="character" w:customStyle="1" w:styleId="StopkaZnak">
    <w:name w:val="Stopka Znak"/>
    <w:basedOn w:val="Domylnaczcionkaakapitu"/>
    <w:link w:val="Stopka"/>
    <w:uiPriority w:val="99"/>
    <w:rsid w:val="00BC0CF2"/>
    <w:rPr>
      <w:color w:val="000000"/>
      <w:sz w:val="24"/>
    </w:rPr>
  </w:style>
  <w:style w:type="paragraph" w:customStyle="1" w:styleId="Znak">
    <w:name w:val="Znak"/>
    <w:basedOn w:val="Normalny"/>
    <w:rsid w:val="00BC0CF2"/>
    <w:pPr>
      <w:tabs>
        <w:tab w:val="clear" w:pos="4536"/>
        <w:tab w:val="clear" w:pos="9072"/>
      </w:tabs>
      <w:spacing w:before="0"/>
      <w:ind w:firstLine="0"/>
      <w:jc w:val="left"/>
    </w:pPr>
    <w:rPr>
      <w:color w:val="auto"/>
      <w:szCs w:val="24"/>
    </w:rPr>
  </w:style>
  <w:style w:type="paragraph" w:styleId="Poprawka">
    <w:name w:val="Revision"/>
    <w:hidden/>
    <w:uiPriority w:val="99"/>
    <w:semiHidden/>
    <w:rsid w:val="00BC0CF2"/>
    <w:rPr>
      <w:color w:val="000000"/>
      <w:sz w:val="24"/>
    </w:rPr>
  </w:style>
  <w:style w:type="paragraph" w:customStyle="1" w:styleId="Tekstpodstawowy21">
    <w:name w:val="Tekst podstawowy 21"/>
    <w:basedOn w:val="Normalny"/>
    <w:rsid w:val="00BC0CF2"/>
    <w:pPr>
      <w:jc w:val="center"/>
    </w:pPr>
    <w:rPr>
      <w:b/>
      <w:sz w:val="36"/>
    </w:rPr>
  </w:style>
  <w:style w:type="paragraph" w:customStyle="1" w:styleId="Tekstpodstawowywcity21">
    <w:name w:val="Tekst podstawowy wcięty 21"/>
    <w:basedOn w:val="Normalny"/>
    <w:rsid w:val="00BC0CF2"/>
    <w:pPr>
      <w:tabs>
        <w:tab w:val="clear" w:pos="4536"/>
        <w:tab w:val="clear" w:pos="9072"/>
        <w:tab w:val="left" w:pos="567"/>
      </w:tabs>
      <w:spacing w:before="0"/>
      <w:ind w:left="567" w:hanging="283"/>
    </w:pPr>
    <w:rPr>
      <w:color w:val="auto"/>
    </w:rPr>
  </w:style>
  <w:style w:type="paragraph" w:styleId="Mapadokumentu">
    <w:name w:val="Document Map"/>
    <w:basedOn w:val="Normalny"/>
    <w:link w:val="MapadokumentuZnak"/>
    <w:rsid w:val="00BC0CF2"/>
    <w:rPr>
      <w:rFonts w:ascii="Tahoma" w:hAnsi="Tahoma" w:cs="Tahoma"/>
      <w:sz w:val="16"/>
      <w:szCs w:val="16"/>
    </w:rPr>
  </w:style>
  <w:style w:type="character" w:customStyle="1" w:styleId="MapadokumentuZnak">
    <w:name w:val="Mapa dokumentu Znak"/>
    <w:basedOn w:val="Domylnaczcionkaakapitu"/>
    <w:link w:val="Mapadokumentu"/>
    <w:rsid w:val="00BC0CF2"/>
    <w:rPr>
      <w:rFonts w:ascii="Tahoma" w:hAnsi="Tahoma" w:cs="Tahoma"/>
      <w:color w:val="000000"/>
      <w:sz w:val="16"/>
      <w:szCs w:val="16"/>
    </w:rPr>
  </w:style>
  <w:style w:type="character" w:customStyle="1" w:styleId="TekstprzypisudolnegoZnak">
    <w:name w:val="Tekst przypisu dolnego Znak"/>
    <w:basedOn w:val="Domylnaczcionkaakapitu"/>
    <w:link w:val="Tekstprzypisudolnego"/>
    <w:semiHidden/>
    <w:rsid w:val="00BC0CF2"/>
    <w:rPr>
      <w:color w:val="000000"/>
    </w:rPr>
  </w:style>
  <w:style w:type="character" w:customStyle="1" w:styleId="NagwekZnak">
    <w:name w:val="Nagłówek Znak"/>
    <w:basedOn w:val="Domylnaczcionkaakapitu"/>
    <w:link w:val="Nagwek"/>
    <w:uiPriority w:val="99"/>
    <w:rsid w:val="00BC0CF2"/>
    <w:rPr>
      <w:color w:val="000000"/>
      <w:sz w:val="24"/>
    </w:rPr>
  </w:style>
  <w:style w:type="character" w:customStyle="1" w:styleId="TekstpodstawowyZnak">
    <w:name w:val="Tekst podstawowy Znak"/>
    <w:basedOn w:val="Domylnaczcionkaakapitu"/>
    <w:link w:val="Tekstpodstawowy"/>
    <w:rsid w:val="0094513F"/>
    <w:rPr>
      <w:color w:val="000000"/>
      <w:sz w:val="24"/>
    </w:rPr>
  </w:style>
  <w:style w:type="character" w:customStyle="1" w:styleId="TematkomentarzaZnak">
    <w:name w:val="Temat komentarza Znak"/>
    <w:basedOn w:val="TekstkomentarzaZnak"/>
    <w:link w:val="Tematkomentarza"/>
    <w:uiPriority w:val="99"/>
    <w:semiHidden/>
    <w:rsid w:val="000F6B32"/>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lkiapawerline.pl" TargetMode="External"/><Relationship Id="rId18" Type="http://schemas.openxmlformats.org/officeDocument/2006/relationships/hyperlink" Target="http://www.pkpenergetyka.pl"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dalkiapawerline.pl" TargetMode="External"/><Relationship Id="rId17" Type="http://schemas.openxmlformats.org/officeDocument/2006/relationships/hyperlink" Target="http://www.dalkiapawerline.pl"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www.dalkiapawerline.pl"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lkiapawerline.pl"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lkiapawerline.pl"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http://www.dalkiapawerline.pl" TargetMode="External"/><Relationship Id="rId19" Type="http://schemas.openxmlformats.org/officeDocument/2006/relationships/hyperlink" Target="http://www.dalkiapawerline.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kiapawerline.pl" TargetMode="External"/><Relationship Id="rId14" Type="http://schemas.openxmlformats.org/officeDocument/2006/relationships/hyperlink" Target="http://www.dalkiapawerline.pl"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276F-4A1A-4439-AF21-CA60A2B9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12055</Words>
  <Characters>72331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IRiESD-Bilansowanie v.8.4</vt:lpstr>
    </vt:vector>
  </TitlesOfParts>
  <Company>PTPiREE</Company>
  <LinksUpToDate>false</LinksUpToDate>
  <CharactersWithSpaces>84218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IRiESD-Bilansowanie v.8.4</dc:title>
  <dc:subject>19.07.2007r</dc:subject>
  <dc:creator>Sylwester Szczensnowicz</dc:creator>
  <cp:lastModifiedBy>bgrzywacz</cp:lastModifiedBy>
  <cp:revision>2</cp:revision>
  <cp:lastPrinted>2011-01-26T07:11:00Z</cp:lastPrinted>
  <dcterms:created xsi:type="dcterms:W3CDTF">2014-06-30T12:14:00Z</dcterms:created>
  <dcterms:modified xsi:type="dcterms:W3CDTF">2014-06-30T12:14:00Z</dcterms:modified>
</cp:coreProperties>
</file>